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BE27" w14:textId="77777777" w:rsidR="007005FB" w:rsidRDefault="00723699">
      <w:pPr>
        <w:pStyle w:val="Heading1"/>
        <w:spacing w:after="389"/>
        <w:ind w:left="-5"/>
      </w:pPr>
      <w:r>
        <w:t xml:space="preserve">Pupil premium strategy statement </w:t>
      </w:r>
    </w:p>
    <w:p w14:paraId="0FE7EA23" w14:textId="77777777" w:rsidR="007005FB" w:rsidRDefault="00723699">
      <w:pPr>
        <w:pBdr>
          <w:top w:val="none" w:sz="0" w:space="0" w:color="auto"/>
          <w:left w:val="none" w:sz="0" w:space="0" w:color="auto"/>
          <w:bottom w:val="none" w:sz="0" w:space="0" w:color="auto"/>
          <w:right w:val="none" w:sz="0" w:space="0" w:color="auto"/>
        </w:pBdr>
        <w:spacing w:after="11" w:line="250" w:lineRule="auto"/>
        <w:ind w:left="-5"/>
      </w:pPr>
      <w:r>
        <w:rPr>
          <w:color w:val="000000"/>
        </w:rPr>
        <w:t xml:space="preserve">This statement details our school’s use of pupil premium (and recovery premium from </w:t>
      </w:r>
    </w:p>
    <w:p w14:paraId="4F0DFFE1" w14:textId="77777777" w:rsidR="007005FB" w:rsidRDefault="00723699">
      <w:pPr>
        <w:pBdr>
          <w:top w:val="none" w:sz="0" w:space="0" w:color="auto"/>
          <w:left w:val="none" w:sz="0" w:space="0" w:color="auto"/>
          <w:bottom w:val="none" w:sz="0" w:space="0" w:color="auto"/>
          <w:right w:val="none" w:sz="0" w:space="0" w:color="auto"/>
        </w:pBdr>
        <w:spacing w:after="230" w:line="250" w:lineRule="auto"/>
        <w:ind w:left="-5"/>
      </w:pPr>
      <w:r>
        <w:rPr>
          <w:color w:val="000000"/>
        </w:rPr>
        <w:t xml:space="preserve">2021 to 2022 </w:t>
      </w:r>
      <w:r>
        <w:rPr>
          <w:color w:val="000000"/>
        </w:rPr>
        <w:t xml:space="preserve">academic year) funding to help improve the attainment of our disadvantaged pupils.  </w:t>
      </w:r>
    </w:p>
    <w:p w14:paraId="671E394C" w14:textId="77777777" w:rsidR="007005FB" w:rsidRDefault="00723699">
      <w:pPr>
        <w:pBdr>
          <w:top w:val="none" w:sz="0" w:space="0" w:color="auto"/>
          <w:left w:val="none" w:sz="0" w:space="0" w:color="auto"/>
          <w:bottom w:val="none" w:sz="0" w:space="0" w:color="auto"/>
          <w:right w:val="none" w:sz="0" w:space="0" w:color="auto"/>
        </w:pBdr>
        <w:spacing w:after="545" w:line="250" w:lineRule="auto"/>
        <w:ind w:left="-5"/>
      </w:pPr>
      <w:r>
        <w:rPr>
          <w:color w:val="000000"/>
        </w:rPr>
        <w:t>It outlines our pupil premium strategy, how we intend to spend the funding in this academic year and the effect that last year’s spending of pupil premium had within our s</w:t>
      </w:r>
      <w:r>
        <w:rPr>
          <w:color w:val="000000"/>
        </w:rPr>
        <w:t xml:space="preserve">chool.  </w:t>
      </w:r>
    </w:p>
    <w:p w14:paraId="0D88FB4B" w14:textId="77777777" w:rsidR="007005FB" w:rsidRDefault="00723699">
      <w:pPr>
        <w:pStyle w:val="Heading2"/>
        <w:spacing w:after="0"/>
        <w:ind w:left="-5"/>
      </w:pPr>
      <w:r>
        <w:t xml:space="preserve">School overview </w:t>
      </w:r>
    </w:p>
    <w:tbl>
      <w:tblPr>
        <w:tblStyle w:val="TableGrid"/>
        <w:tblW w:w="9485" w:type="dxa"/>
        <w:tblInd w:w="7" w:type="dxa"/>
        <w:tblCellMar>
          <w:top w:w="72" w:type="dxa"/>
          <w:left w:w="166" w:type="dxa"/>
          <w:bottom w:w="0" w:type="dxa"/>
          <w:right w:w="115" w:type="dxa"/>
        </w:tblCellMar>
        <w:tblLook w:val="04A0" w:firstRow="1" w:lastRow="0" w:firstColumn="1" w:lastColumn="0" w:noHBand="0" w:noVBand="1"/>
      </w:tblPr>
      <w:tblGrid>
        <w:gridCol w:w="6517"/>
        <w:gridCol w:w="2968"/>
      </w:tblGrid>
      <w:tr w:rsidR="007005FB" w14:paraId="5539C7C6"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5B1D2830"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089B9F4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Data </w:t>
            </w:r>
          </w:p>
        </w:tc>
      </w:tr>
      <w:tr w:rsidR="007005FB" w14:paraId="187FB7B4" w14:textId="77777777">
        <w:trPr>
          <w:trHeight w:val="686"/>
        </w:trPr>
        <w:tc>
          <w:tcPr>
            <w:tcW w:w="6517" w:type="dxa"/>
            <w:tcBorders>
              <w:top w:val="single" w:sz="4" w:space="0" w:color="000000"/>
              <w:left w:val="single" w:sz="4" w:space="0" w:color="000000"/>
              <w:bottom w:val="single" w:sz="4" w:space="0" w:color="000000"/>
              <w:right w:val="single" w:sz="4" w:space="0" w:color="000000"/>
            </w:tcBorders>
          </w:tcPr>
          <w:p w14:paraId="24B1C92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537DB46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Leftwich Community Primary School </w:t>
            </w:r>
          </w:p>
        </w:tc>
      </w:tr>
      <w:tr w:rsidR="007005FB" w14:paraId="7D723F00"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6B742C3"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6F8932E4" w14:textId="56ACC5AF"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1</w:t>
            </w:r>
            <w:r w:rsidR="00950E41">
              <w:t>79</w:t>
            </w:r>
          </w:p>
        </w:tc>
      </w:tr>
      <w:tr w:rsidR="007005FB" w14:paraId="361452E8"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2E7CBA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317D7C3F" w14:textId="3BFE16C7" w:rsidR="007005FB" w:rsidRDefault="00950E41">
            <w:pPr>
              <w:pBdr>
                <w:top w:val="none" w:sz="0" w:space="0" w:color="auto"/>
                <w:left w:val="none" w:sz="0" w:space="0" w:color="auto"/>
                <w:bottom w:val="none" w:sz="0" w:space="0" w:color="auto"/>
                <w:right w:val="none" w:sz="0" w:space="0" w:color="auto"/>
              </w:pBdr>
              <w:spacing w:after="0" w:line="259" w:lineRule="auto"/>
              <w:ind w:left="0" w:firstLine="0"/>
            </w:pPr>
            <w:r>
              <w:t>40</w:t>
            </w:r>
            <w:r w:rsidR="00723699">
              <w:t>% (</w:t>
            </w:r>
            <w:r>
              <w:t>72</w:t>
            </w:r>
            <w:r w:rsidR="00723699">
              <w:t xml:space="preserve"> children) </w:t>
            </w:r>
          </w:p>
        </w:tc>
      </w:tr>
      <w:tr w:rsidR="007005FB" w14:paraId="536E42E4"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44BD55D6" w14:textId="1DBCAF9B"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Academic year/years that our current pupil premium strategy plan covers </w:t>
            </w:r>
          </w:p>
        </w:tc>
        <w:tc>
          <w:tcPr>
            <w:tcW w:w="2968" w:type="dxa"/>
            <w:tcBorders>
              <w:top w:val="single" w:sz="4" w:space="0" w:color="000000"/>
              <w:left w:val="single" w:sz="4" w:space="0" w:color="000000"/>
              <w:bottom w:val="single" w:sz="4" w:space="0" w:color="000000"/>
              <w:right w:val="single" w:sz="4" w:space="0" w:color="000000"/>
            </w:tcBorders>
          </w:tcPr>
          <w:p w14:paraId="2E92DE7E" w14:textId="721010D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202</w:t>
            </w:r>
            <w:r w:rsidR="00950E41">
              <w:t>3</w:t>
            </w:r>
            <w:r>
              <w:t>-202</w:t>
            </w:r>
            <w:r w:rsidR="00950E41">
              <w:t>4</w:t>
            </w:r>
            <w:r>
              <w:t xml:space="preserve"> </w:t>
            </w:r>
          </w:p>
        </w:tc>
      </w:tr>
      <w:tr w:rsidR="007005FB" w14:paraId="3BC65888"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8090AB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1DED82F9" w14:textId="62070D68" w:rsidR="007005FB" w:rsidRDefault="00950E41">
            <w:pPr>
              <w:pBdr>
                <w:top w:val="none" w:sz="0" w:space="0" w:color="auto"/>
                <w:left w:val="none" w:sz="0" w:space="0" w:color="auto"/>
                <w:bottom w:val="none" w:sz="0" w:space="0" w:color="auto"/>
                <w:right w:val="none" w:sz="0" w:space="0" w:color="auto"/>
              </w:pBdr>
              <w:spacing w:after="0" w:line="259" w:lineRule="auto"/>
              <w:ind w:left="0" w:firstLine="0"/>
            </w:pPr>
            <w:r>
              <w:t>1</w:t>
            </w:r>
            <w:r w:rsidRPr="00950E41">
              <w:rPr>
                <w:vertAlign w:val="superscript"/>
              </w:rPr>
              <w:t>st</w:t>
            </w:r>
            <w:r>
              <w:t xml:space="preserve"> December 2023</w:t>
            </w:r>
          </w:p>
        </w:tc>
      </w:tr>
      <w:tr w:rsidR="007005FB" w14:paraId="343F6140"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33F3D9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6C2A77B6" w14:textId="3998923A" w:rsidR="007005FB" w:rsidRDefault="00950E41">
            <w:pPr>
              <w:pBdr>
                <w:top w:val="none" w:sz="0" w:space="0" w:color="auto"/>
                <w:left w:val="none" w:sz="0" w:space="0" w:color="auto"/>
                <w:bottom w:val="none" w:sz="0" w:space="0" w:color="auto"/>
                <w:right w:val="none" w:sz="0" w:space="0" w:color="auto"/>
              </w:pBdr>
              <w:spacing w:after="0" w:line="259" w:lineRule="auto"/>
              <w:ind w:left="0" w:firstLine="0"/>
            </w:pPr>
            <w:r>
              <w:t>November 2024</w:t>
            </w:r>
          </w:p>
        </w:tc>
      </w:tr>
      <w:tr w:rsidR="007005FB" w14:paraId="51B92575"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7E82AFE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76A276E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C Harrison/ L Guy (Headteachers) </w:t>
            </w:r>
          </w:p>
        </w:tc>
      </w:tr>
      <w:tr w:rsidR="007005FB" w14:paraId="5D475459"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46DEDEB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6F1394F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C Harrison/ L Guy </w:t>
            </w:r>
          </w:p>
        </w:tc>
      </w:tr>
      <w:tr w:rsidR="007005FB" w14:paraId="05A8612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147BBB38"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69CA017F" w14:textId="34BBE39D"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D Pilgrim/ A </w:t>
            </w:r>
            <w:r w:rsidR="00950E41">
              <w:t>Lawson</w:t>
            </w:r>
            <w:r>
              <w:t xml:space="preserve"> </w:t>
            </w:r>
          </w:p>
        </w:tc>
      </w:tr>
    </w:tbl>
    <w:p w14:paraId="27A39385" w14:textId="77777777" w:rsidR="007005FB" w:rsidRDefault="00723699">
      <w:pPr>
        <w:pStyle w:val="Heading2"/>
        <w:spacing w:after="0"/>
        <w:ind w:left="-5"/>
      </w:pPr>
      <w:r>
        <w:t xml:space="preserve">Funding overview </w:t>
      </w:r>
    </w:p>
    <w:tbl>
      <w:tblPr>
        <w:tblStyle w:val="TableGrid"/>
        <w:tblW w:w="9485" w:type="dxa"/>
        <w:tblInd w:w="7" w:type="dxa"/>
        <w:tblCellMar>
          <w:top w:w="72" w:type="dxa"/>
          <w:left w:w="166" w:type="dxa"/>
          <w:bottom w:w="0" w:type="dxa"/>
          <w:right w:w="115" w:type="dxa"/>
        </w:tblCellMar>
        <w:tblLook w:val="04A0" w:firstRow="1" w:lastRow="0" w:firstColumn="1" w:lastColumn="0" w:noHBand="0" w:noVBand="1"/>
      </w:tblPr>
      <w:tblGrid>
        <w:gridCol w:w="6517"/>
        <w:gridCol w:w="2968"/>
      </w:tblGrid>
      <w:tr w:rsidR="007005FB" w14:paraId="0AC5EF11"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495F2F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Detail</w:t>
            </w:r>
            <w: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63A6A2F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Amount</w:t>
            </w:r>
            <w:r>
              <w:t xml:space="preserve"> </w:t>
            </w:r>
          </w:p>
        </w:tc>
      </w:tr>
      <w:tr w:rsidR="007005FB" w14:paraId="771882D9" w14:textId="77777777">
        <w:trPr>
          <w:trHeight w:val="409"/>
        </w:trPr>
        <w:tc>
          <w:tcPr>
            <w:tcW w:w="6517" w:type="dxa"/>
            <w:tcBorders>
              <w:top w:val="single" w:sz="4" w:space="0" w:color="000000"/>
              <w:left w:val="single" w:sz="4" w:space="0" w:color="000000"/>
              <w:bottom w:val="single" w:sz="4" w:space="0" w:color="000000"/>
              <w:right w:val="single" w:sz="4" w:space="0" w:color="000000"/>
            </w:tcBorders>
          </w:tcPr>
          <w:p w14:paraId="667107C9"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19449518" w14:textId="37508BCD"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r w:rsidR="000F0BC3">
              <w:t>94,359</w:t>
            </w:r>
          </w:p>
        </w:tc>
      </w:tr>
      <w:tr w:rsidR="007005FB" w14:paraId="5055D80C"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0260A37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506BBD9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sidRPr="00D06FE3">
              <w:rPr>
                <w:highlight w:val="yellow"/>
              </w:rPr>
              <w:t>£ 9,570</w:t>
            </w:r>
            <w:r>
              <w:t xml:space="preserve"> </w:t>
            </w:r>
          </w:p>
        </w:tc>
      </w:tr>
      <w:tr w:rsidR="007005FB" w14:paraId="70671291"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084E350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9" w:firstLine="0"/>
            </w:pPr>
            <w: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3B5614C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£0 </w:t>
            </w:r>
          </w:p>
        </w:tc>
      </w:tr>
      <w:tr w:rsidR="007005FB" w14:paraId="5A7BC43A" w14:textId="77777777">
        <w:trPr>
          <w:trHeight w:val="1294"/>
        </w:trPr>
        <w:tc>
          <w:tcPr>
            <w:tcW w:w="6517" w:type="dxa"/>
            <w:tcBorders>
              <w:top w:val="single" w:sz="4" w:space="0" w:color="000000"/>
              <w:left w:val="single" w:sz="4" w:space="0" w:color="000000"/>
              <w:bottom w:val="single" w:sz="4" w:space="0" w:color="000000"/>
              <w:right w:val="single" w:sz="4" w:space="0" w:color="000000"/>
            </w:tcBorders>
          </w:tcPr>
          <w:p w14:paraId="3D403871" w14:textId="77777777" w:rsidR="007005FB" w:rsidRDefault="00723699">
            <w:pPr>
              <w:pBdr>
                <w:top w:val="none" w:sz="0" w:space="0" w:color="auto"/>
                <w:left w:val="none" w:sz="0" w:space="0" w:color="auto"/>
                <w:bottom w:val="none" w:sz="0" w:space="0" w:color="auto"/>
                <w:right w:val="none" w:sz="0" w:space="0" w:color="auto"/>
              </w:pBdr>
              <w:spacing w:after="38" w:line="259" w:lineRule="auto"/>
              <w:ind w:left="0" w:firstLine="0"/>
            </w:pPr>
            <w:r>
              <w:rPr>
                <w:b/>
              </w:rPr>
              <w:t xml:space="preserve">Total budget for this academic year </w:t>
            </w:r>
          </w:p>
          <w:p w14:paraId="63C212F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275DF48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£92,900 </w:t>
            </w:r>
          </w:p>
        </w:tc>
      </w:tr>
    </w:tbl>
    <w:p w14:paraId="5923BA56" w14:textId="77777777" w:rsidR="007005FB" w:rsidRDefault="00723699">
      <w:pPr>
        <w:pStyle w:val="Heading1"/>
        <w:ind w:left="-5"/>
      </w:pPr>
      <w:r>
        <w:lastRenderedPageBreak/>
        <w:t xml:space="preserve">Part A: Pupil premium strategy plan </w:t>
      </w:r>
    </w:p>
    <w:p w14:paraId="4AB06A34" w14:textId="77777777" w:rsidR="007005FB" w:rsidRDefault="00723699">
      <w:pPr>
        <w:pStyle w:val="Heading2"/>
        <w:spacing w:after="0"/>
        <w:ind w:left="-5"/>
      </w:pPr>
      <w:r>
        <w:t xml:space="preserve">Statement of intent </w:t>
      </w:r>
    </w:p>
    <w:tbl>
      <w:tblPr>
        <w:tblStyle w:val="TableGrid"/>
        <w:tblW w:w="9489" w:type="dxa"/>
        <w:tblInd w:w="5" w:type="dxa"/>
        <w:tblCellMar>
          <w:top w:w="13" w:type="dxa"/>
          <w:left w:w="111" w:type="dxa"/>
          <w:bottom w:w="0" w:type="dxa"/>
          <w:right w:w="55" w:type="dxa"/>
        </w:tblCellMar>
        <w:tblLook w:val="04A0" w:firstRow="1" w:lastRow="0" w:firstColumn="1" w:lastColumn="0" w:noHBand="0" w:noVBand="1"/>
      </w:tblPr>
      <w:tblGrid>
        <w:gridCol w:w="9489"/>
      </w:tblGrid>
      <w:tr w:rsidR="007005FB" w14:paraId="428D5FB6" w14:textId="77777777">
        <w:trPr>
          <w:trHeight w:val="12719"/>
        </w:trPr>
        <w:tc>
          <w:tcPr>
            <w:tcW w:w="9489" w:type="dxa"/>
            <w:tcBorders>
              <w:top w:val="single" w:sz="4" w:space="0" w:color="000000"/>
              <w:left w:val="single" w:sz="4" w:space="0" w:color="000000"/>
              <w:bottom w:val="single" w:sz="4" w:space="0" w:color="000000"/>
              <w:right w:val="single" w:sz="4" w:space="0" w:color="000000"/>
            </w:tcBorders>
          </w:tcPr>
          <w:p w14:paraId="6CE73B7B" w14:textId="5216DC9C" w:rsidR="007005FB" w:rsidRDefault="00723699">
            <w:pPr>
              <w:pBdr>
                <w:top w:val="none" w:sz="0" w:space="0" w:color="auto"/>
                <w:left w:val="none" w:sz="0" w:space="0" w:color="auto"/>
                <w:bottom w:val="none" w:sz="0" w:space="0" w:color="auto"/>
                <w:right w:val="none" w:sz="0" w:space="0" w:color="auto"/>
              </w:pBdr>
              <w:spacing w:after="240" w:line="288" w:lineRule="auto"/>
              <w:ind w:left="0" w:firstLine="0"/>
            </w:pPr>
            <w:r>
              <w:t xml:space="preserve">Leftwich Community Primary School has high expectations and aspirations for all pupils. We aim to ensure all pupils, irrespective of their background or the challenges they face, make good progress and achieve high attainment across all subject areas. The </w:t>
            </w:r>
            <w:r>
              <w:t>focus of our pupil premium strategy is to support disadvantaged pupils to achieve that goal and to ensure the gap between these pupils and others</w:t>
            </w:r>
            <w:r w:rsidR="00950E41">
              <w:t xml:space="preserve"> is narrowed. </w:t>
            </w:r>
          </w:p>
          <w:p w14:paraId="7DE1E1C7" w14:textId="638A1564" w:rsidR="007005FB" w:rsidRDefault="00723699">
            <w:pPr>
              <w:pBdr>
                <w:top w:val="none" w:sz="0" w:space="0" w:color="auto"/>
                <w:left w:val="none" w:sz="0" w:space="0" w:color="auto"/>
                <w:bottom w:val="none" w:sz="0" w:space="0" w:color="auto"/>
                <w:right w:val="none" w:sz="0" w:space="0" w:color="auto"/>
              </w:pBdr>
              <w:spacing w:after="241" w:line="288" w:lineRule="auto"/>
              <w:ind w:left="0" w:firstLine="0"/>
            </w:pPr>
            <w:r>
              <w:t>We will consider the challenges faced by vulnerable pupils</w:t>
            </w:r>
            <w:r>
              <w:t>, such as those who have social care support</w:t>
            </w:r>
            <w:r w:rsidR="000F0BC3">
              <w:t>.</w:t>
            </w:r>
          </w:p>
          <w:p w14:paraId="5D9F987C" w14:textId="77777777" w:rsidR="007005FB" w:rsidRDefault="00723699">
            <w:pPr>
              <w:pBdr>
                <w:top w:val="none" w:sz="0" w:space="0" w:color="auto"/>
                <w:left w:val="none" w:sz="0" w:space="0" w:color="auto"/>
                <w:bottom w:val="none" w:sz="0" w:space="0" w:color="auto"/>
                <w:right w:val="none" w:sz="0" w:space="0" w:color="auto"/>
              </w:pBdr>
              <w:spacing w:after="235" w:line="293" w:lineRule="auto"/>
              <w:ind w:left="0" w:firstLine="0"/>
            </w:pPr>
            <w:r>
              <w:t>High quality teaching is at the heart of our approach, with a focus on areas in which disadvantaged pupils require the most support. This is proven to have the greatest impact on closing the disadvantaged attainment gap and at the same time will benefit th</w:t>
            </w:r>
            <w:r>
              <w:t xml:space="preserve">e non-disadvantaged pupils in our school. Implicit in the intended outcomes detailed below, is the intention that non-disadvantaged pupils’ attainment will be sustained and improved alongside progress for their disadvantaged peers.  </w:t>
            </w:r>
          </w:p>
          <w:p w14:paraId="4EA9BD5D" w14:textId="77777777" w:rsidR="007005FB" w:rsidRDefault="00723699">
            <w:pPr>
              <w:pBdr>
                <w:top w:val="none" w:sz="0" w:space="0" w:color="auto"/>
                <w:left w:val="none" w:sz="0" w:space="0" w:color="auto"/>
                <w:bottom w:val="none" w:sz="0" w:space="0" w:color="auto"/>
                <w:right w:val="none" w:sz="0" w:space="0" w:color="auto"/>
              </w:pBdr>
              <w:spacing w:after="258" w:line="288" w:lineRule="auto"/>
              <w:ind w:left="0" w:firstLine="0"/>
            </w:pPr>
            <w:r>
              <w:t>Our approach will be r</w:t>
            </w:r>
            <w:r>
              <w:t xml:space="preserve">esponsive to common challenges and individual needs, rooted in robust diagnostic assessment, not assumptions about the impact of disadvantage. The approaches we have adopted complement each other to help pupils excel. To ensure they are effective we will: </w:t>
            </w:r>
            <w:r>
              <w:t xml:space="preserve"> </w:t>
            </w:r>
          </w:p>
          <w:p w14:paraId="60D27D56"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6" w:line="259" w:lineRule="auto"/>
              <w:ind w:hanging="360"/>
            </w:pPr>
            <w:r>
              <w:t xml:space="preserve">Ensure quality first teaching for all children. </w:t>
            </w:r>
          </w:p>
          <w:p w14:paraId="061F434F"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15" w:line="290" w:lineRule="auto"/>
              <w:ind w:hanging="360"/>
            </w:pPr>
            <w:r>
              <w:t xml:space="preserve">Providing a whole school curriculum that </w:t>
            </w:r>
            <w:r>
              <w:t xml:space="preserve">increases aspiration and understanding of the value of education and their place within it. </w:t>
            </w:r>
          </w:p>
          <w:p w14:paraId="7865D2DC"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4" w:line="259" w:lineRule="auto"/>
              <w:ind w:hanging="360"/>
            </w:pPr>
            <w:r>
              <w:t xml:space="preserve">Ensure disadvantaged pupils are challenged in the work they are set.  </w:t>
            </w:r>
          </w:p>
          <w:p w14:paraId="755745B8"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17" w:line="289" w:lineRule="auto"/>
              <w:ind w:hanging="360"/>
            </w:pPr>
            <w:r>
              <w:t xml:space="preserve">Continue </w:t>
            </w:r>
            <w:r>
              <w:t xml:space="preserve">to monitor attendance, focusing particularly on persistent absence, to ensure disadvantaged pupils have attendance, which is in line with, or above the national figure to diminish the gap between these pupils and all others in school. </w:t>
            </w:r>
          </w:p>
          <w:p w14:paraId="301A912A"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6" w:line="259" w:lineRule="auto"/>
              <w:ind w:hanging="360"/>
            </w:pPr>
            <w:r>
              <w:t xml:space="preserve">Developing communication and language skills, and PSED, as a priority in EY. </w:t>
            </w:r>
          </w:p>
          <w:p w14:paraId="063FD2B3" w14:textId="77777777" w:rsidR="007005FB" w:rsidRDefault="00723699">
            <w:pPr>
              <w:numPr>
                <w:ilvl w:val="0"/>
                <w:numId w:val="2"/>
              </w:numPr>
              <w:pBdr>
                <w:top w:val="none" w:sz="0" w:space="0" w:color="auto"/>
                <w:left w:val="none" w:sz="0" w:space="0" w:color="auto"/>
                <w:bottom w:val="none" w:sz="0" w:space="0" w:color="auto"/>
                <w:right w:val="none" w:sz="0" w:space="0" w:color="auto"/>
              </w:pBdr>
              <w:spacing w:after="233" w:line="294" w:lineRule="auto"/>
              <w:ind w:hanging="360"/>
            </w:pPr>
            <w:r>
              <w:t>Ensure all staff have support and training to identify barriers to children making good progress and reaching their potential, leading to a whole school approach in which all sta</w:t>
            </w:r>
            <w:r>
              <w:t xml:space="preserve">ff take responsibility for disadvantaged pupils’ outcomes and raise expectations of what they can achieve.  </w:t>
            </w:r>
          </w:p>
          <w:p w14:paraId="5982D9B8" w14:textId="77777777" w:rsidR="007005FB" w:rsidRDefault="00723699">
            <w:pPr>
              <w:pBdr>
                <w:top w:val="none" w:sz="0" w:space="0" w:color="auto"/>
                <w:left w:val="none" w:sz="0" w:space="0" w:color="auto"/>
                <w:bottom w:val="none" w:sz="0" w:space="0" w:color="auto"/>
                <w:right w:val="none" w:sz="0" w:space="0" w:color="auto"/>
              </w:pBdr>
              <w:spacing w:after="273" w:line="259" w:lineRule="auto"/>
              <w:ind w:left="0" w:firstLine="0"/>
            </w:pPr>
            <w:r>
              <w:t xml:space="preserve"> </w:t>
            </w:r>
          </w:p>
          <w:p w14:paraId="0BE746A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005FB" w14:paraId="57FE9093" w14:textId="77777777">
        <w:trPr>
          <w:trHeight w:val="7511"/>
        </w:trPr>
        <w:tc>
          <w:tcPr>
            <w:tcW w:w="9489" w:type="dxa"/>
            <w:tcBorders>
              <w:top w:val="single" w:sz="4" w:space="0" w:color="000000"/>
              <w:left w:val="single" w:sz="4" w:space="0" w:color="000000"/>
              <w:bottom w:val="single" w:sz="4" w:space="0" w:color="000000"/>
              <w:right w:val="single" w:sz="4" w:space="0" w:color="000000"/>
            </w:tcBorders>
          </w:tcPr>
          <w:p w14:paraId="449D9F0F" w14:textId="77777777" w:rsidR="007005FB" w:rsidRDefault="00723699">
            <w:pPr>
              <w:pBdr>
                <w:top w:val="none" w:sz="0" w:space="0" w:color="auto"/>
                <w:left w:val="none" w:sz="0" w:space="0" w:color="auto"/>
                <w:bottom w:val="none" w:sz="0" w:space="0" w:color="auto"/>
                <w:right w:val="none" w:sz="0" w:space="0" w:color="auto"/>
              </w:pBdr>
              <w:spacing w:after="291" w:line="259" w:lineRule="auto"/>
              <w:ind w:left="0" w:firstLine="0"/>
            </w:pPr>
            <w:r>
              <w:lastRenderedPageBreak/>
              <w:t xml:space="preserve">The key principles which underpin this strategy plan are as follows:  </w:t>
            </w:r>
          </w:p>
          <w:p w14:paraId="6DEBE966" w14:textId="77777777" w:rsidR="007005FB" w:rsidRDefault="00723699">
            <w:pPr>
              <w:numPr>
                <w:ilvl w:val="0"/>
                <w:numId w:val="3"/>
              </w:numPr>
              <w:pBdr>
                <w:top w:val="none" w:sz="0" w:space="0" w:color="auto"/>
                <w:left w:val="none" w:sz="0" w:space="0" w:color="auto"/>
                <w:bottom w:val="none" w:sz="0" w:space="0" w:color="auto"/>
                <w:right w:val="none" w:sz="0" w:space="0" w:color="auto"/>
              </w:pBdr>
              <w:spacing w:after="17" w:line="288" w:lineRule="auto"/>
              <w:ind w:hanging="360"/>
            </w:pPr>
            <w:r>
              <w:t xml:space="preserve">Children can only achieve their potential with consistently high-quality teaching and a curriculum which is meaningful, providing with the skills they need to succeed and to move onto the next stage in their education.  </w:t>
            </w:r>
          </w:p>
          <w:p w14:paraId="0E65DDED" w14:textId="77777777" w:rsidR="007005FB" w:rsidRDefault="00723699">
            <w:pPr>
              <w:numPr>
                <w:ilvl w:val="0"/>
                <w:numId w:val="3"/>
              </w:numPr>
              <w:pBdr>
                <w:top w:val="none" w:sz="0" w:space="0" w:color="auto"/>
                <w:left w:val="none" w:sz="0" w:space="0" w:color="auto"/>
                <w:bottom w:val="none" w:sz="0" w:space="0" w:color="auto"/>
                <w:right w:val="none" w:sz="0" w:space="0" w:color="auto"/>
              </w:pBdr>
              <w:spacing w:after="17" w:line="288" w:lineRule="auto"/>
              <w:ind w:hanging="360"/>
            </w:pPr>
            <w:r>
              <w:rPr>
                <w:color w:val="202124"/>
              </w:rPr>
              <w:t>Cultural capital is the essential k</w:t>
            </w:r>
            <w:r>
              <w:rPr>
                <w:color w:val="202124"/>
              </w:rPr>
              <w:t>nowledge that children need to prepare them for their future success. It is about giving children the best possible start to their early education. By ensuring children in receipt of PPG can access all aspects of the curriculum, including enrichment activi</w:t>
            </w:r>
            <w:r>
              <w:rPr>
                <w:color w:val="202124"/>
              </w:rPr>
              <w:t xml:space="preserve">ties (extra-curricular visits, clubs, music tuition, sports events etc), means they have the same opportunities as all other pupils. </w:t>
            </w:r>
            <w:r>
              <w:t xml:space="preserve"> </w:t>
            </w:r>
          </w:p>
          <w:p w14:paraId="74FF87EA" w14:textId="77777777" w:rsidR="007005FB" w:rsidRDefault="00723699">
            <w:pPr>
              <w:numPr>
                <w:ilvl w:val="0"/>
                <w:numId w:val="3"/>
              </w:numPr>
              <w:pBdr>
                <w:top w:val="none" w:sz="0" w:space="0" w:color="auto"/>
                <w:left w:val="none" w:sz="0" w:space="0" w:color="auto"/>
                <w:bottom w:val="none" w:sz="0" w:space="0" w:color="auto"/>
                <w:right w:val="none" w:sz="0" w:space="0" w:color="auto"/>
              </w:pBdr>
              <w:spacing w:after="17" w:line="289" w:lineRule="auto"/>
              <w:ind w:hanging="360"/>
            </w:pPr>
            <w:r>
              <w:t xml:space="preserve">If children are not in </w:t>
            </w:r>
            <w:proofErr w:type="gramStart"/>
            <w:r>
              <w:t>school</w:t>
            </w:r>
            <w:proofErr w:type="gramEnd"/>
            <w:r>
              <w:t xml:space="preserve"> they cannot make progress and the gaps in learning, and social and emotional development, w</w:t>
            </w:r>
            <w:r>
              <w:t xml:space="preserve">ill inevitably widen. Children develop a work ethic and build resilience through regular attendance at school. If they do not attend regularly then there are implications for applying these skills and values in the workplace.  </w:t>
            </w:r>
          </w:p>
          <w:p w14:paraId="0A0E0C67" w14:textId="77777777" w:rsidR="007005FB" w:rsidRDefault="00723699">
            <w:pPr>
              <w:numPr>
                <w:ilvl w:val="0"/>
                <w:numId w:val="3"/>
              </w:numPr>
              <w:pBdr>
                <w:top w:val="none" w:sz="0" w:space="0" w:color="auto"/>
                <w:left w:val="none" w:sz="0" w:space="0" w:color="auto"/>
                <w:bottom w:val="none" w:sz="0" w:space="0" w:color="auto"/>
                <w:right w:val="none" w:sz="0" w:space="0" w:color="auto"/>
              </w:pBdr>
              <w:spacing w:after="0" w:line="259" w:lineRule="auto"/>
              <w:ind w:hanging="360"/>
            </w:pPr>
            <w:r>
              <w:t>Children who start school wi</w:t>
            </w:r>
            <w:r>
              <w:t>th language and communication skills below what is expected for their age are at an immediate disadvantage. Early language acquisition impacts on all aspects of children’s non-physical development. It contributes to their ability to manage emotions and com</w:t>
            </w:r>
            <w:r>
              <w:t>municate feelings, to establish and maintain relationships, to think symbolically and to learn to read and write.</w:t>
            </w:r>
            <w:r>
              <w:rPr>
                <w:i/>
              </w:rPr>
              <w:t xml:space="preserve">  </w:t>
            </w:r>
          </w:p>
        </w:tc>
      </w:tr>
      <w:tr w:rsidR="007005FB" w14:paraId="1F19DDE0" w14:textId="77777777">
        <w:trPr>
          <w:trHeight w:val="704"/>
        </w:trPr>
        <w:tc>
          <w:tcPr>
            <w:tcW w:w="9489" w:type="dxa"/>
            <w:tcBorders>
              <w:top w:val="single" w:sz="4" w:space="0" w:color="000000"/>
              <w:left w:val="single" w:sz="4" w:space="0" w:color="000000"/>
              <w:bottom w:val="single" w:sz="4" w:space="0" w:color="000000"/>
              <w:right w:val="single" w:sz="4" w:space="0" w:color="000000"/>
            </w:tcBorders>
          </w:tcPr>
          <w:p w14:paraId="5BFD4A5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i/>
              </w:rPr>
              <w:t xml:space="preserve"> </w:t>
            </w:r>
          </w:p>
        </w:tc>
      </w:tr>
    </w:tbl>
    <w:p w14:paraId="3E618DED" w14:textId="77777777" w:rsidR="007005FB" w:rsidRDefault="00723699">
      <w:pPr>
        <w:pStyle w:val="Heading2"/>
        <w:ind w:left="-5"/>
      </w:pPr>
      <w:r>
        <w:t xml:space="preserve">Challenges </w:t>
      </w:r>
    </w:p>
    <w:p w14:paraId="3F8E95BD" w14:textId="77777777" w:rsidR="007005FB" w:rsidRDefault="00723699">
      <w:pPr>
        <w:pBdr>
          <w:top w:val="none" w:sz="0" w:space="0" w:color="auto"/>
          <w:left w:val="none" w:sz="0" w:space="0" w:color="auto"/>
          <w:bottom w:val="none" w:sz="0" w:space="0" w:color="auto"/>
          <w:right w:val="none" w:sz="0" w:space="0" w:color="auto"/>
        </w:pBdr>
        <w:spacing w:after="11" w:line="250" w:lineRule="auto"/>
        <w:ind w:left="-5"/>
      </w:pPr>
      <w:r>
        <w:rPr>
          <w:color w:val="000000"/>
        </w:rPr>
        <w:t>This details the key challenges to achievement that we have identified among our disadvantaged pupils.</w:t>
      </w:r>
      <w:r>
        <w:t xml:space="preserve"> </w:t>
      </w:r>
    </w:p>
    <w:tbl>
      <w:tblPr>
        <w:tblStyle w:val="TableGrid"/>
        <w:tblW w:w="9485" w:type="dxa"/>
        <w:tblInd w:w="7" w:type="dxa"/>
        <w:tblCellMar>
          <w:top w:w="14" w:type="dxa"/>
          <w:left w:w="166" w:type="dxa"/>
          <w:bottom w:w="0" w:type="dxa"/>
          <w:right w:w="97" w:type="dxa"/>
        </w:tblCellMar>
        <w:tblLook w:val="04A0" w:firstRow="1" w:lastRow="0" w:firstColumn="1" w:lastColumn="0" w:noHBand="0" w:noVBand="1"/>
      </w:tblPr>
      <w:tblGrid>
        <w:gridCol w:w="1476"/>
        <w:gridCol w:w="8009"/>
      </w:tblGrid>
      <w:tr w:rsidR="007005FB" w14:paraId="6CECAB0A" w14:textId="77777777">
        <w:trPr>
          <w:trHeight w:val="679"/>
        </w:trPr>
        <w:tc>
          <w:tcPr>
            <w:tcW w:w="1476" w:type="dxa"/>
            <w:tcBorders>
              <w:top w:val="single" w:sz="4" w:space="0" w:color="000000"/>
              <w:left w:val="single" w:sz="4" w:space="0" w:color="000000"/>
              <w:bottom w:val="single" w:sz="4" w:space="0" w:color="000000"/>
              <w:right w:val="single" w:sz="4" w:space="0" w:color="000000"/>
            </w:tcBorders>
            <w:shd w:val="clear" w:color="auto" w:fill="D8E2E9"/>
          </w:tcPr>
          <w:p w14:paraId="5C1348E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b/>
              </w:rPr>
              <w:t xml:space="preserve">Challenge number </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Pr>
          <w:p w14:paraId="6AE1A10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Detail of challenge  </w:t>
            </w:r>
          </w:p>
        </w:tc>
      </w:tr>
      <w:tr w:rsidR="007005FB" w14:paraId="34C9A315" w14:textId="77777777">
        <w:trPr>
          <w:trHeight w:val="1144"/>
        </w:trPr>
        <w:tc>
          <w:tcPr>
            <w:tcW w:w="1476" w:type="dxa"/>
            <w:tcBorders>
              <w:top w:val="single" w:sz="4" w:space="0" w:color="000000"/>
              <w:left w:val="single" w:sz="4" w:space="0" w:color="000000"/>
              <w:bottom w:val="single" w:sz="4" w:space="0" w:color="000000"/>
              <w:right w:val="single" w:sz="4" w:space="0" w:color="000000"/>
            </w:tcBorders>
          </w:tcPr>
          <w:p w14:paraId="4E6AA2B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1 </w:t>
            </w:r>
          </w:p>
        </w:tc>
        <w:tc>
          <w:tcPr>
            <w:tcW w:w="8009" w:type="dxa"/>
            <w:tcBorders>
              <w:top w:val="single" w:sz="4" w:space="0" w:color="000000"/>
              <w:left w:val="single" w:sz="4" w:space="0" w:color="000000"/>
              <w:bottom w:val="single" w:sz="4" w:space="0" w:color="000000"/>
              <w:right w:val="single" w:sz="4" w:space="0" w:color="000000"/>
            </w:tcBorders>
          </w:tcPr>
          <w:p w14:paraId="6BF1C2C3"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Assessments, observations and discussions with pupils indicate under</w:t>
            </w:r>
            <w:r>
              <w:rPr>
                <w:sz w:val="22"/>
              </w:rPr>
              <w:t xml:space="preserve">developed oral language skills and vocabulary gaps among many disadvantaged pupils. These are evident from Reception through KS2 and, in general, are more prevalent among our disadvantaged pupils than their peers.  </w:t>
            </w:r>
          </w:p>
        </w:tc>
      </w:tr>
      <w:tr w:rsidR="007005FB" w14:paraId="51AE567D" w14:textId="77777777">
        <w:trPr>
          <w:trHeight w:val="888"/>
        </w:trPr>
        <w:tc>
          <w:tcPr>
            <w:tcW w:w="1476" w:type="dxa"/>
            <w:tcBorders>
              <w:top w:val="single" w:sz="4" w:space="0" w:color="000000"/>
              <w:left w:val="single" w:sz="4" w:space="0" w:color="000000"/>
              <w:bottom w:val="single" w:sz="4" w:space="0" w:color="000000"/>
              <w:right w:val="single" w:sz="4" w:space="0" w:color="000000"/>
            </w:tcBorders>
          </w:tcPr>
          <w:p w14:paraId="36823A5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2 </w:t>
            </w:r>
          </w:p>
        </w:tc>
        <w:tc>
          <w:tcPr>
            <w:tcW w:w="8009" w:type="dxa"/>
            <w:tcBorders>
              <w:top w:val="single" w:sz="4" w:space="0" w:color="000000"/>
              <w:left w:val="single" w:sz="4" w:space="0" w:color="000000"/>
              <w:bottom w:val="single" w:sz="4" w:space="0" w:color="000000"/>
              <w:right w:val="single" w:sz="4" w:space="0" w:color="000000"/>
            </w:tcBorders>
          </w:tcPr>
          <w:p w14:paraId="3D05E48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Assessments, observations and discussions with pupils suggest </w:t>
            </w:r>
          </w:p>
          <w:p w14:paraId="261D6B69"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disadvantaged pupils generally have greater difficulties with phonics than their peers. This negatively impacts on their development as readers.  </w:t>
            </w:r>
          </w:p>
        </w:tc>
      </w:tr>
      <w:tr w:rsidR="007005FB" w14:paraId="375AE1FF" w14:textId="77777777">
        <w:trPr>
          <w:trHeight w:val="1142"/>
        </w:trPr>
        <w:tc>
          <w:tcPr>
            <w:tcW w:w="1476" w:type="dxa"/>
            <w:tcBorders>
              <w:top w:val="single" w:sz="4" w:space="0" w:color="000000"/>
              <w:left w:val="single" w:sz="4" w:space="0" w:color="000000"/>
              <w:bottom w:val="single" w:sz="4" w:space="0" w:color="000000"/>
              <w:right w:val="single" w:sz="4" w:space="0" w:color="000000"/>
            </w:tcBorders>
          </w:tcPr>
          <w:p w14:paraId="2838CDDB"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3 </w:t>
            </w:r>
          </w:p>
        </w:tc>
        <w:tc>
          <w:tcPr>
            <w:tcW w:w="8009" w:type="dxa"/>
            <w:tcBorders>
              <w:top w:val="single" w:sz="4" w:space="0" w:color="000000"/>
              <w:left w:val="single" w:sz="4" w:space="0" w:color="000000"/>
              <w:bottom w:val="single" w:sz="4" w:space="0" w:color="000000"/>
              <w:right w:val="single" w:sz="4" w:space="0" w:color="000000"/>
            </w:tcBorders>
          </w:tcPr>
          <w:p w14:paraId="263E193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tc>
      </w:tr>
      <w:tr w:rsidR="007005FB" w14:paraId="4DD7B5FE" w14:textId="77777777">
        <w:trPr>
          <w:trHeight w:val="576"/>
        </w:trPr>
        <w:tc>
          <w:tcPr>
            <w:tcW w:w="1476" w:type="dxa"/>
            <w:tcBorders>
              <w:top w:val="single" w:sz="4" w:space="0" w:color="000000"/>
              <w:left w:val="single" w:sz="4" w:space="0" w:color="000000"/>
              <w:bottom w:val="single" w:sz="4" w:space="0" w:color="000000"/>
              <w:right w:val="single" w:sz="4" w:space="0" w:color="000000"/>
            </w:tcBorders>
          </w:tcPr>
          <w:p w14:paraId="349CCD41" w14:textId="77777777" w:rsidR="007005FB" w:rsidRDefault="007005FB">
            <w:pPr>
              <w:spacing w:after="160" w:line="259" w:lineRule="auto"/>
              <w:ind w:left="0" w:firstLine="0"/>
            </w:pPr>
          </w:p>
        </w:tc>
        <w:tc>
          <w:tcPr>
            <w:tcW w:w="8009" w:type="dxa"/>
            <w:tcBorders>
              <w:top w:val="single" w:sz="4" w:space="0" w:color="000000"/>
              <w:left w:val="single" w:sz="4" w:space="0" w:color="000000"/>
              <w:bottom w:val="single" w:sz="4" w:space="0" w:color="000000"/>
              <w:right w:val="single" w:sz="4" w:space="0" w:color="000000"/>
            </w:tcBorders>
          </w:tcPr>
          <w:p w14:paraId="7E7AF360"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This has resulted in significant knowledge gaps leading to pupils falling further behind age-related expectations in maths, reading and writing.  </w:t>
            </w:r>
          </w:p>
        </w:tc>
      </w:tr>
      <w:tr w:rsidR="007005FB" w14:paraId="014B3642" w14:textId="77777777">
        <w:trPr>
          <w:trHeight w:val="2528"/>
        </w:trPr>
        <w:tc>
          <w:tcPr>
            <w:tcW w:w="1476" w:type="dxa"/>
            <w:tcBorders>
              <w:top w:val="single" w:sz="4" w:space="0" w:color="000000"/>
              <w:left w:val="single" w:sz="4" w:space="0" w:color="000000"/>
              <w:bottom w:val="single" w:sz="4" w:space="0" w:color="000000"/>
              <w:right w:val="single" w:sz="4" w:space="0" w:color="000000"/>
            </w:tcBorders>
          </w:tcPr>
          <w:p w14:paraId="676D9E8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3" w:firstLine="0"/>
            </w:pPr>
            <w:r>
              <w:rPr>
                <w:sz w:val="22"/>
              </w:rPr>
              <w:lastRenderedPageBreak/>
              <w:t xml:space="preserve">4 </w:t>
            </w:r>
          </w:p>
        </w:tc>
        <w:tc>
          <w:tcPr>
            <w:tcW w:w="8009" w:type="dxa"/>
            <w:tcBorders>
              <w:top w:val="single" w:sz="4" w:space="0" w:color="000000"/>
              <w:left w:val="single" w:sz="4" w:space="0" w:color="000000"/>
              <w:bottom w:val="single" w:sz="4" w:space="0" w:color="000000"/>
              <w:right w:val="single" w:sz="4" w:space="0" w:color="000000"/>
            </w:tcBorders>
          </w:tcPr>
          <w:p w14:paraId="73675EEE" w14:textId="77777777" w:rsidR="007005FB" w:rsidRDefault="00723699">
            <w:pPr>
              <w:pBdr>
                <w:top w:val="none" w:sz="0" w:space="0" w:color="auto"/>
                <w:left w:val="none" w:sz="0" w:space="0" w:color="auto"/>
                <w:bottom w:val="none" w:sz="0" w:space="0" w:color="auto"/>
                <w:right w:val="none" w:sz="0" w:space="0" w:color="auto"/>
              </w:pBdr>
              <w:spacing w:after="59" w:line="239" w:lineRule="auto"/>
              <w:ind w:left="0" w:right="23" w:firstLine="0"/>
            </w:pPr>
            <w:r>
              <w:rPr>
                <w:sz w:val="22"/>
              </w:rPr>
              <w:t>Our assessments, observations and discussions with pupils and families have identified social and emotional issues for many pupils, and a lack of enrichment opportunities, particularly during school closure. These challenges particularly affect disadvantag</w:t>
            </w:r>
            <w:r>
              <w:rPr>
                <w:sz w:val="22"/>
              </w:rPr>
              <w:t xml:space="preserve">ed pupils, including their attainment.  </w:t>
            </w:r>
          </w:p>
          <w:p w14:paraId="5FB1D203" w14:textId="77777777" w:rsidR="007005FB" w:rsidRDefault="00723699">
            <w:pPr>
              <w:pBdr>
                <w:top w:val="none" w:sz="0" w:space="0" w:color="auto"/>
                <w:left w:val="none" w:sz="0" w:space="0" w:color="auto"/>
                <w:bottom w:val="none" w:sz="0" w:space="0" w:color="auto"/>
                <w:right w:val="none" w:sz="0" w:space="0" w:color="auto"/>
              </w:pBdr>
              <w:spacing w:after="58" w:line="240" w:lineRule="auto"/>
              <w:ind w:left="0" w:firstLine="0"/>
            </w:pPr>
            <w:r>
              <w:rPr>
                <w:sz w:val="22"/>
              </w:rPr>
              <w:t xml:space="preserve">Of the children who currently access ELSA, Play Therapy and Family Support within school, more than 90% disadvantaged.  </w:t>
            </w:r>
          </w:p>
          <w:p w14:paraId="43D2992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We have identified that financial pressures cause additional stress within the home for disadvantaged families (lack of digital devices, unable to pay for school visits, uniform etc) </w:t>
            </w:r>
          </w:p>
        </w:tc>
      </w:tr>
      <w:tr w:rsidR="007005FB" w14:paraId="4FA01ABF" w14:textId="77777777">
        <w:trPr>
          <w:trHeight w:val="2216"/>
        </w:trPr>
        <w:tc>
          <w:tcPr>
            <w:tcW w:w="1476" w:type="dxa"/>
            <w:tcBorders>
              <w:top w:val="single" w:sz="4" w:space="0" w:color="000000"/>
              <w:left w:val="single" w:sz="4" w:space="0" w:color="000000"/>
              <w:bottom w:val="single" w:sz="4" w:space="0" w:color="000000"/>
              <w:right w:val="single" w:sz="4" w:space="0" w:color="000000"/>
            </w:tcBorders>
          </w:tcPr>
          <w:p w14:paraId="3D6D2C7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3" w:firstLine="0"/>
            </w:pPr>
            <w:r>
              <w:rPr>
                <w:sz w:val="22"/>
              </w:rPr>
              <w:t xml:space="preserve">5 </w:t>
            </w:r>
          </w:p>
        </w:tc>
        <w:tc>
          <w:tcPr>
            <w:tcW w:w="8009" w:type="dxa"/>
            <w:tcBorders>
              <w:top w:val="single" w:sz="4" w:space="0" w:color="000000"/>
              <w:left w:val="single" w:sz="4" w:space="0" w:color="000000"/>
              <w:bottom w:val="single" w:sz="4" w:space="0" w:color="000000"/>
              <w:right w:val="single" w:sz="4" w:space="0" w:color="000000"/>
            </w:tcBorders>
          </w:tcPr>
          <w:p w14:paraId="204F8456" w14:textId="77777777" w:rsidR="007005FB" w:rsidRDefault="00723699">
            <w:pPr>
              <w:pBdr>
                <w:top w:val="none" w:sz="0" w:space="0" w:color="auto"/>
                <w:left w:val="none" w:sz="0" w:space="0" w:color="auto"/>
                <w:bottom w:val="none" w:sz="0" w:space="0" w:color="auto"/>
                <w:right w:val="none" w:sz="0" w:space="0" w:color="auto"/>
              </w:pBdr>
              <w:spacing w:after="61" w:line="240" w:lineRule="auto"/>
              <w:ind w:left="0" w:firstLine="0"/>
            </w:pPr>
            <w:r>
              <w:rPr>
                <w:sz w:val="22"/>
              </w:rPr>
              <w:t xml:space="preserve">Our attendance data over the last 2 years indicates that attendance among disadvantaged pupils has been between 4 – 5% lower than for </w:t>
            </w:r>
            <w:proofErr w:type="spellStart"/>
            <w:r>
              <w:rPr>
                <w:sz w:val="22"/>
              </w:rPr>
              <w:t>nondisadvantaged</w:t>
            </w:r>
            <w:proofErr w:type="spellEnd"/>
            <w:r>
              <w:rPr>
                <w:sz w:val="22"/>
              </w:rPr>
              <w:t xml:space="preserve">.  </w:t>
            </w:r>
          </w:p>
          <w:p w14:paraId="2594918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Attendance data shows that of those who are persistently absent, 60% were disadvantaged pupils last ye</w:t>
            </w:r>
            <w:r>
              <w:rPr>
                <w:sz w:val="22"/>
              </w:rPr>
              <w:t xml:space="preserve">ar. Currently 36% of our total group of persistent absentees are disadvantaged pupils. Our assessments and observations indicated that absenteeism is negatively impacting on disadvantaged pupils’ progress.  </w:t>
            </w:r>
          </w:p>
        </w:tc>
      </w:tr>
    </w:tbl>
    <w:p w14:paraId="4C2EF364" w14:textId="77777777" w:rsidR="007005FB" w:rsidRDefault="00723699">
      <w:pPr>
        <w:pStyle w:val="Heading2"/>
        <w:ind w:left="-5"/>
      </w:pPr>
      <w:r>
        <w:t xml:space="preserve">Intended outcomes  </w:t>
      </w:r>
    </w:p>
    <w:p w14:paraId="403C33A5" w14:textId="77777777" w:rsidR="007005FB" w:rsidRDefault="00723699">
      <w:pPr>
        <w:pBdr>
          <w:top w:val="none" w:sz="0" w:space="0" w:color="auto"/>
          <w:left w:val="none" w:sz="0" w:space="0" w:color="auto"/>
          <w:bottom w:val="none" w:sz="0" w:space="0" w:color="auto"/>
          <w:right w:val="none" w:sz="0" w:space="0" w:color="auto"/>
        </w:pBdr>
        <w:spacing w:after="11" w:line="250" w:lineRule="auto"/>
        <w:ind w:left="-5"/>
      </w:pPr>
      <w:r>
        <w:rPr>
          <w:color w:val="000000"/>
        </w:rPr>
        <w:t xml:space="preserve">This explains the outcomes we are aiming for </w:t>
      </w:r>
      <w:r>
        <w:rPr>
          <w:b/>
          <w:color w:val="000000"/>
        </w:rPr>
        <w:t>by the end of our current strategy plan</w:t>
      </w:r>
      <w:r>
        <w:rPr>
          <w:color w:val="000000"/>
        </w:rPr>
        <w:t>, and how we will measure whether they have been achieved.</w:t>
      </w:r>
      <w:r>
        <w:t xml:space="preserve"> </w:t>
      </w:r>
    </w:p>
    <w:tbl>
      <w:tblPr>
        <w:tblStyle w:val="TableGrid"/>
        <w:tblW w:w="9486" w:type="dxa"/>
        <w:tblInd w:w="7" w:type="dxa"/>
        <w:tblCellMar>
          <w:top w:w="14" w:type="dxa"/>
          <w:left w:w="108" w:type="dxa"/>
          <w:bottom w:w="0" w:type="dxa"/>
          <w:right w:w="105" w:type="dxa"/>
        </w:tblCellMar>
        <w:tblLook w:val="04A0" w:firstRow="1" w:lastRow="0" w:firstColumn="1" w:lastColumn="0" w:noHBand="0" w:noVBand="1"/>
      </w:tblPr>
      <w:tblGrid>
        <w:gridCol w:w="4816"/>
        <w:gridCol w:w="4670"/>
      </w:tblGrid>
      <w:tr w:rsidR="007005FB" w14:paraId="7A026244"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6096257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b/>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7B2949D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7" w:firstLine="0"/>
            </w:pPr>
            <w:r>
              <w:rPr>
                <w:b/>
              </w:rPr>
              <w:t xml:space="preserve">Success criteria </w:t>
            </w:r>
          </w:p>
        </w:tc>
      </w:tr>
      <w:tr w:rsidR="007005FB" w14:paraId="710FDFA6" w14:textId="77777777">
        <w:trPr>
          <w:trHeight w:val="1650"/>
        </w:trPr>
        <w:tc>
          <w:tcPr>
            <w:tcW w:w="4815" w:type="dxa"/>
            <w:tcBorders>
              <w:top w:val="single" w:sz="4" w:space="0" w:color="000000"/>
              <w:left w:val="single" w:sz="4" w:space="0" w:color="000000"/>
              <w:bottom w:val="single" w:sz="4" w:space="0" w:color="000000"/>
              <w:right w:val="single" w:sz="4" w:space="0" w:color="000000"/>
            </w:tcBorders>
          </w:tcPr>
          <w:p w14:paraId="4880CE80"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Improved oral language skills and vocabulary among disadvantaged pupils.  </w:t>
            </w:r>
          </w:p>
        </w:tc>
        <w:tc>
          <w:tcPr>
            <w:tcW w:w="4670" w:type="dxa"/>
            <w:tcBorders>
              <w:top w:val="single" w:sz="4" w:space="0" w:color="000000"/>
              <w:left w:val="single" w:sz="4" w:space="0" w:color="000000"/>
              <w:bottom w:val="single" w:sz="4" w:space="0" w:color="000000"/>
              <w:right w:val="single" w:sz="4" w:space="0" w:color="000000"/>
            </w:tcBorders>
          </w:tcPr>
          <w:p w14:paraId="107EF1D3"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7" w:right="33" w:firstLine="0"/>
            </w:pPr>
            <w:r>
              <w:rPr>
                <w:sz w:val="22"/>
              </w:rPr>
              <w:t>Assessments and observations indicate significantly improved oral language among disadvantaged pupils. This is evident when triangulated with other sources of evidence, including en</w:t>
            </w:r>
            <w:r>
              <w:rPr>
                <w:sz w:val="22"/>
              </w:rPr>
              <w:t xml:space="preserve">gagement in lessons, book looks and ongoing formative assessment.  </w:t>
            </w:r>
          </w:p>
        </w:tc>
      </w:tr>
      <w:tr w:rsidR="007005FB" w14:paraId="7D1A7088" w14:textId="77777777">
        <w:trPr>
          <w:trHeight w:val="1142"/>
        </w:trPr>
        <w:tc>
          <w:tcPr>
            <w:tcW w:w="4815" w:type="dxa"/>
            <w:tcBorders>
              <w:top w:val="single" w:sz="4" w:space="0" w:color="000000"/>
              <w:left w:val="single" w:sz="4" w:space="0" w:color="000000"/>
              <w:bottom w:val="single" w:sz="4" w:space="0" w:color="000000"/>
              <w:right w:val="single" w:sz="4" w:space="0" w:color="000000"/>
            </w:tcBorders>
          </w:tcPr>
          <w:p w14:paraId="0903E5C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Outcomes for communication and Language and PSED improved at the end of EY.  </w:t>
            </w:r>
          </w:p>
        </w:tc>
        <w:tc>
          <w:tcPr>
            <w:tcW w:w="4670" w:type="dxa"/>
            <w:tcBorders>
              <w:top w:val="single" w:sz="4" w:space="0" w:color="000000"/>
              <w:left w:val="single" w:sz="4" w:space="0" w:color="000000"/>
              <w:bottom w:val="single" w:sz="4" w:space="0" w:color="000000"/>
              <w:right w:val="single" w:sz="4" w:space="0" w:color="000000"/>
            </w:tcBorders>
          </w:tcPr>
          <w:p w14:paraId="7592001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7" w:firstLine="0"/>
            </w:pPr>
            <w:r>
              <w:rPr>
                <w:sz w:val="22"/>
              </w:rPr>
              <w:t xml:space="preserve">Outcomes at the end of EY show that more disadvantaged pupils have achieved the expected standard in Communication and Language and PSED.  </w:t>
            </w:r>
          </w:p>
        </w:tc>
      </w:tr>
      <w:tr w:rsidR="007005FB" w14:paraId="38049ADD" w14:textId="77777777">
        <w:trPr>
          <w:trHeight w:val="888"/>
        </w:trPr>
        <w:tc>
          <w:tcPr>
            <w:tcW w:w="4815" w:type="dxa"/>
            <w:tcBorders>
              <w:top w:val="single" w:sz="4" w:space="0" w:color="000000"/>
              <w:left w:val="single" w:sz="4" w:space="0" w:color="000000"/>
              <w:bottom w:val="single" w:sz="4" w:space="0" w:color="000000"/>
              <w:right w:val="single" w:sz="4" w:space="0" w:color="000000"/>
            </w:tcBorders>
          </w:tcPr>
          <w:p w14:paraId="7A5C0D1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Improved reading attainment among disadvantaged pupils. </w:t>
            </w:r>
          </w:p>
        </w:tc>
        <w:tc>
          <w:tcPr>
            <w:tcW w:w="4670" w:type="dxa"/>
            <w:tcBorders>
              <w:top w:val="single" w:sz="4" w:space="0" w:color="000000"/>
              <w:left w:val="single" w:sz="4" w:space="0" w:color="000000"/>
              <w:bottom w:val="single" w:sz="4" w:space="0" w:color="000000"/>
              <w:right w:val="single" w:sz="4" w:space="0" w:color="000000"/>
            </w:tcBorders>
          </w:tcPr>
          <w:p w14:paraId="386FE72E" w14:textId="3192FBDF" w:rsidR="007005FB" w:rsidRDefault="00723699">
            <w:pPr>
              <w:pBdr>
                <w:top w:val="none" w:sz="0" w:space="0" w:color="auto"/>
                <w:left w:val="none" w:sz="0" w:space="0" w:color="auto"/>
                <w:bottom w:val="none" w:sz="0" w:space="0" w:color="auto"/>
                <w:right w:val="none" w:sz="0" w:space="0" w:color="auto"/>
              </w:pBdr>
              <w:spacing w:after="0" w:line="259" w:lineRule="auto"/>
              <w:ind w:left="57" w:firstLine="0"/>
            </w:pPr>
            <w:r>
              <w:rPr>
                <w:sz w:val="22"/>
              </w:rPr>
              <w:t>KS2 reading outcomes in 202</w:t>
            </w:r>
            <w:r w:rsidR="00516900">
              <w:rPr>
                <w:sz w:val="22"/>
              </w:rPr>
              <w:t>2</w:t>
            </w:r>
            <w:r>
              <w:rPr>
                <w:sz w:val="22"/>
              </w:rPr>
              <w:t>/2</w:t>
            </w:r>
            <w:r w:rsidR="00516900">
              <w:rPr>
                <w:sz w:val="22"/>
              </w:rPr>
              <w:t>3</w:t>
            </w:r>
            <w:r>
              <w:rPr>
                <w:sz w:val="22"/>
              </w:rPr>
              <w:t xml:space="preserve"> show that more than 70% of disadvantaged pupils met the expected standard.  </w:t>
            </w:r>
          </w:p>
        </w:tc>
      </w:tr>
      <w:tr w:rsidR="007005FB" w14:paraId="67844B9C" w14:textId="77777777">
        <w:trPr>
          <w:trHeight w:val="891"/>
        </w:trPr>
        <w:tc>
          <w:tcPr>
            <w:tcW w:w="4815" w:type="dxa"/>
            <w:tcBorders>
              <w:top w:val="single" w:sz="4" w:space="0" w:color="000000"/>
              <w:left w:val="single" w:sz="4" w:space="0" w:color="000000"/>
              <w:bottom w:val="single" w:sz="4" w:space="0" w:color="000000"/>
              <w:right w:val="single" w:sz="4" w:space="0" w:color="000000"/>
            </w:tcBorders>
          </w:tcPr>
          <w:p w14:paraId="23B5F13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right="30" w:firstLine="0"/>
            </w:pPr>
            <w:r>
              <w:rPr>
                <w:sz w:val="22"/>
              </w:rPr>
              <w:t xml:space="preserve">Improved writing attainment for disadvantaged pupils at the end of KS2.  </w:t>
            </w:r>
          </w:p>
        </w:tc>
        <w:tc>
          <w:tcPr>
            <w:tcW w:w="4670" w:type="dxa"/>
            <w:tcBorders>
              <w:top w:val="single" w:sz="4" w:space="0" w:color="000000"/>
              <w:left w:val="single" w:sz="4" w:space="0" w:color="000000"/>
              <w:bottom w:val="single" w:sz="4" w:space="0" w:color="000000"/>
              <w:right w:val="single" w:sz="4" w:space="0" w:color="000000"/>
            </w:tcBorders>
          </w:tcPr>
          <w:p w14:paraId="15F4B304" w14:textId="20161A66" w:rsidR="007005FB" w:rsidRDefault="00723699">
            <w:pPr>
              <w:pBdr>
                <w:top w:val="none" w:sz="0" w:space="0" w:color="auto"/>
                <w:left w:val="none" w:sz="0" w:space="0" w:color="auto"/>
                <w:bottom w:val="none" w:sz="0" w:space="0" w:color="auto"/>
                <w:right w:val="none" w:sz="0" w:space="0" w:color="auto"/>
              </w:pBdr>
              <w:spacing w:after="0" w:line="259" w:lineRule="auto"/>
              <w:ind w:left="57" w:firstLine="0"/>
            </w:pPr>
            <w:r>
              <w:rPr>
                <w:sz w:val="22"/>
              </w:rPr>
              <w:t>KS2 writing outcomes in 202</w:t>
            </w:r>
            <w:r w:rsidR="00516900">
              <w:rPr>
                <w:sz w:val="22"/>
              </w:rPr>
              <w:t>2</w:t>
            </w:r>
            <w:r>
              <w:rPr>
                <w:sz w:val="22"/>
              </w:rPr>
              <w:t>/2</w:t>
            </w:r>
            <w:r w:rsidR="00516900">
              <w:rPr>
                <w:sz w:val="22"/>
              </w:rPr>
              <w:t>3</w:t>
            </w:r>
            <w:r>
              <w:rPr>
                <w:sz w:val="22"/>
              </w:rPr>
              <w:t xml:space="preserve"> show that more than 70% of disadvantaged pupils met the expected standard.  </w:t>
            </w:r>
          </w:p>
        </w:tc>
      </w:tr>
      <w:tr w:rsidR="007005FB" w14:paraId="75ED6DB9" w14:textId="77777777">
        <w:trPr>
          <w:trHeight w:val="1990"/>
        </w:trPr>
        <w:tc>
          <w:tcPr>
            <w:tcW w:w="4815" w:type="dxa"/>
            <w:tcBorders>
              <w:top w:val="single" w:sz="4" w:space="0" w:color="000000"/>
              <w:left w:val="single" w:sz="4" w:space="0" w:color="000000"/>
              <w:bottom w:val="single" w:sz="4" w:space="0" w:color="000000"/>
              <w:right w:val="single" w:sz="4" w:space="0" w:color="000000"/>
            </w:tcBorders>
          </w:tcPr>
          <w:p w14:paraId="5955917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right="18" w:firstLine="0"/>
            </w:pPr>
            <w:r>
              <w:rPr>
                <w:sz w:val="22"/>
              </w:rPr>
              <w:t xml:space="preserve">To achieve and sustain improved wellbeing for all pupils in our school, particularly our disadvantaged pupils.  </w:t>
            </w:r>
          </w:p>
        </w:tc>
        <w:tc>
          <w:tcPr>
            <w:tcW w:w="4670" w:type="dxa"/>
            <w:tcBorders>
              <w:top w:val="single" w:sz="4" w:space="0" w:color="000000"/>
              <w:left w:val="single" w:sz="4" w:space="0" w:color="000000"/>
              <w:bottom w:val="single" w:sz="4" w:space="0" w:color="000000"/>
              <w:right w:val="single" w:sz="4" w:space="0" w:color="000000"/>
            </w:tcBorders>
          </w:tcPr>
          <w:p w14:paraId="42BB3EE1" w14:textId="1FF6941D" w:rsidR="007005FB" w:rsidRDefault="00723699">
            <w:pPr>
              <w:pBdr>
                <w:top w:val="none" w:sz="0" w:space="0" w:color="auto"/>
                <w:left w:val="none" w:sz="0" w:space="0" w:color="auto"/>
                <w:bottom w:val="none" w:sz="0" w:space="0" w:color="auto"/>
                <w:right w:val="none" w:sz="0" w:space="0" w:color="auto"/>
              </w:pBdr>
              <w:spacing w:after="78" w:line="238" w:lineRule="auto"/>
              <w:ind w:left="57" w:firstLine="0"/>
            </w:pPr>
            <w:r>
              <w:rPr>
                <w:sz w:val="22"/>
              </w:rPr>
              <w:t>Sustained levels of wellbeing from 202</w:t>
            </w:r>
            <w:r w:rsidR="00516900">
              <w:rPr>
                <w:sz w:val="22"/>
              </w:rPr>
              <w:t>2</w:t>
            </w:r>
            <w:r>
              <w:rPr>
                <w:sz w:val="22"/>
              </w:rPr>
              <w:t>/2</w:t>
            </w:r>
            <w:r w:rsidR="00516900">
              <w:rPr>
                <w:sz w:val="22"/>
              </w:rPr>
              <w:t>3</w:t>
            </w:r>
            <w:r>
              <w:rPr>
                <w:sz w:val="22"/>
              </w:rPr>
              <w:t xml:space="preserve"> demonstrated by: </w:t>
            </w:r>
          </w:p>
          <w:p w14:paraId="246808BE" w14:textId="77777777" w:rsidR="007005FB" w:rsidRDefault="00723699">
            <w:pPr>
              <w:numPr>
                <w:ilvl w:val="0"/>
                <w:numId w:val="4"/>
              </w:numPr>
              <w:pBdr>
                <w:top w:val="none" w:sz="0" w:space="0" w:color="auto"/>
                <w:left w:val="none" w:sz="0" w:space="0" w:color="auto"/>
                <w:bottom w:val="none" w:sz="0" w:space="0" w:color="auto"/>
                <w:right w:val="none" w:sz="0" w:space="0" w:color="auto"/>
              </w:pBdr>
              <w:spacing w:after="73" w:line="243" w:lineRule="auto"/>
              <w:ind w:hanging="360"/>
            </w:pPr>
            <w:r>
              <w:rPr>
                <w:sz w:val="22"/>
              </w:rPr>
              <w:t xml:space="preserve">Qualitative data from pupil voice, student and parent surveys and teacher observations </w:t>
            </w:r>
          </w:p>
          <w:p w14:paraId="4624340B" w14:textId="77777777" w:rsidR="007005FB" w:rsidRDefault="00723699">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sz w:val="22"/>
              </w:rPr>
              <w:t xml:space="preserve">A significant reduction in those pupils requiring nurture group support, </w:t>
            </w:r>
          </w:p>
        </w:tc>
      </w:tr>
      <w:tr w:rsidR="007005FB" w14:paraId="2789CAE6" w14:textId="77777777">
        <w:trPr>
          <w:trHeight w:val="1412"/>
        </w:trPr>
        <w:tc>
          <w:tcPr>
            <w:tcW w:w="4815" w:type="dxa"/>
            <w:tcBorders>
              <w:top w:val="single" w:sz="4" w:space="0" w:color="000000"/>
              <w:left w:val="single" w:sz="4" w:space="0" w:color="000000"/>
              <w:bottom w:val="single" w:sz="4" w:space="0" w:color="000000"/>
              <w:right w:val="single" w:sz="4" w:space="0" w:color="000000"/>
            </w:tcBorders>
          </w:tcPr>
          <w:p w14:paraId="30974958" w14:textId="77777777" w:rsidR="007005FB" w:rsidRDefault="007005FB">
            <w:pPr>
              <w:spacing w:after="160" w:line="259" w:lineRule="auto"/>
              <w:ind w:left="0" w:firstLine="0"/>
            </w:pPr>
          </w:p>
        </w:tc>
        <w:tc>
          <w:tcPr>
            <w:tcW w:w="4670" w:type="dxa"/>
            <w:tcBorders>
              <w:top w:val="single" w:sz="4" w:space="0" w:color="000000"/>
              <w:left w:val="single" w:sz="4" w:space="0" w:color="000000"/>
              <w:bottom w:val="single" w:sz="4" w:space="0" w:color="000000"/>
              <w:right w:val="single" w:sz="4" w:space="0" w:color="000000"/>
            </w:tcBorders>
          </w:tcPr>
          <w:p w14:paraId="36E5879E" w14:textId="77777777" w:rsidR="007005FB" w:rsidRDefault="00723699">
            <w:pPr>
              <w:pBdr>
                <w:top w:val="none" w:sz="0" w:space="0" w:color="auto"/>
                <w:left w:val="none" w:sz="0" w:space="0" w:color="auto"/>
                <w:bottom w:val="none" w:sz="0" w:space="0" w:color="auto"/>
                <w:right w:val="none" w:sz="0" w:space="0" w:color="auto"/>
              </w:pBdr>
              <w:spacing w:after="78" w:line="238" w:lineRule="auto"/>
              <w:ind w:left="778" w:firstLine="0"/>
            </w:pPr>
            <w:r>
              <w:rPr>
                <w:sz w:val="22"/>
              </w:rPr>
              <w:t xml:space="preserve">ELSA, Family Support Worker intervention.  </w:t>
            </w:r>
          </w:p>
          <w:p w14:paraId="1E90794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778" w:hanging="360"/>
            </w:pPr>
            <w:r>
              <w:rPr>
                <w:rFonts w:ascii="Segoe UI Symbol" w:eastAsia="Segoe UI Symbol" w:hAnsi="Segoe UI Symbol" w:cs="Segoe UI Symbol"/>
                <w:sz w:val="22"/>
              </w:rPr>
              <w:t>•</w:t>
            </w:r>
            <w:r>
              <w:rPr>
                <w:sz w:val="22"/>
              </w:rPr>
              <w:t xml:space="preserve"> </w:t>
            </w:r>
            <w:r>
              <w:rPr>
                <w:sz w:val="22"/>
              </w:rPr>
              <w:tab/>
            </w:r>
            <w:r>
              <w:rPr>
                <w:sz w:val="22"/>
              </w:rPr>
              <w:t xml:space="preserve">A significant increase in participation in enrichment activities, particularly among disadvantaged families.  </w:t>
            </w:r>
          </w:p>
        </w:tc>
      </w:tr>
      <w:tr w:rsidR="007005FB" w14:paraId="08BF3689" w14:textId="77777777">
        <w:trPr>
          <w:trHeight w:val="4076"/>
        </w:trPr>
        <w:tc>
          <w:tcPr>
            <w:tcW w:w="4815" w:type="dxa"/>
            <w:tcBorders>
              <w:top w:val="single" w:sz="4" w:space="0" w:color="000000"/>
              <w:left w:val="single" w:sz="4" w:space="0" w:color="000000"/>
              <w:bottom w:val="single" w:sz="4" w:space="0" w:color="000000"/>
              <w:right w:val="single" w:sz="4" w:space="0" w:color="000000"/>
            </w:tcBorders>
          </w:tcPr>
          <w:p w14:paraId="6C39AA2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To achieve and sustain improved attendance for all pupils, particularly our disadvantaged pupils. </w:t>
            </w:r>
          </w:p>
        </w:tc>
        <w:tc>
          <w:tcPr>
            <w:tcW w:w="4670" w:type="dxa"/>
            <w:tcBorders>
              <w:top w:val="single" w:sz="4" w:space="0" w:color="000000"/>
              <w:left w:val="single" w:sz="4" w:space="0" w:color="000000"/>
              <w:bottom w:val="single" w:sz="4" w:space="0" w:color="000000"/>
              <w:right w:val="single" w:sz="4" w:space="0" w:color="000000"/>
            </w:tcBorders>
          </w:tcPr>
          <w:p w14:paraId="7B426B44" w14:textId="13FF4CEA" w:rsidR="007005FB" w:rsidRDefault="00723699">
            <w:pPr>
              <w:pBdr>
                <w:top w:val="none" w:sz="0" w:space="0" w:color="auto"/>
                <w:left w:val="none" w:sz="0" w:space="0" w:color="auto"/>
                <w:bottom w:val="none" w:sz="0" w:space="0" w:color="auto"/>
                <w:right w:val="none" w:sz="0" w:space="0" w:color="auto"/>
              </w:pBdr>
              <w:spacing w:after="78" w:line="238" w:lineRule="auto"/>
              <w:ind w:left="57" w:firstLine="0"/>
            </w:pPr>
            <w:r>
              <w:rPr>
                <w:sz w:val="22"/>
              </w:rPr>
              <w:t>Sustained high attendance from 202</w:t>
            </w:r>
            <w:r w:rsidR="00AB0392">
              <w:rPr>
                <w:sz w:val="22"/>
              </w:rPr>
              <w:t>2/23</w:t>
            </w:r>
            <w:r>
              <w:rPr>
                <w:sz w:val="22"/>
              </w:rPr>
              <w:t xml:space="preserve"> demonstrated by:  </w:t>
            </w:r>
          </w:p>
          <w:p w14:paraId="3E1A17B3" w14:textId="77777777" w:rsidR="007005FB" w:rsidRDefault="00723699">
            <w:pPr>
              <w:numPr>
                <w:ilvl w:val="0"/>
                <w:numId w:val="5"/>
              </w:numPr>
              <w:pBdr>
                <w:top w:val="none" w:sz="0" w:space="0" w:color="auto"/>
                <w:left w:val="none" w:sz="0" w:space="0" w:color="auto"/>
                <w:bottom w:val="none" w:sz="0" w:space="0" w:color="auto"/>
                <w:right w:val="none" w:sz="0" w:space="0" w:color="auto"/>
              </w:pBdr>
              <w:spacing w:after="75" w:line="241" w:lineRule="auto"/>
              <w:ind w:right="8" w:hanging="360"/>
            </w:pPr>
            <w:r>
              <w:rPr>
                <w:sz w:val="22"/>
              </w:rPr>
              <w:t>The overall absence rate for all pupils being no more than 4% and the attendance gap between disadv</w:t>
            </w:r>
            <w:r>
              <w:rPr>
                <w:sz w:val="22"/>
              </w:rPr>
              <w:t xml:space="preserve">antaged pupils and their </w:t>
            </w:r>
            <w:proofErr w:type="spellStart"/>
            <w:r>
              <w:rPr>
                <w:sz w:val="22"/>
              </w:rPr>
              <w:t>nondisadvantaged</w:t>
            </w:r>
            <w:proofErr w:type="spellEnd"/>
            <w:r>
              <w:rPr>
                <w:sz w:val="22"/>
              </w:rPr>
              <w:t xml:space="preserve"> peers being reduced. </w:t>
            </w:r>
          </w:p>
          <w:p w14:paraId="0A0BFB95" w14:textId="77777777" w:rsidR="007005FB" w:rsidRDefault="00723699">
            <w:pPr>
              <w:numPr>
                <w:ilvl w:val="0"/>
                <w:numId w:val="5"/>
              </w:numPr>
              <w:pBdr>
                <w:top w:val="none" w:sz="0" w:space="0" w:color="auto"/>
                <w:left w:val="none" w:sz="0" w:space="0" w:color="auto"/>
                <w:bottom w:val="none" w:sz="0" w:space="0" w:color="auto"/>
                <w:right w:val="none" w:sz="0" w:space="0" w:color="auto"/>
              </w:pBdr>
              <w:spacing w:after="0" w:line="259" w:lineRule="auto"/>
              <w:ind w:right="8" w:hanging="360"/>
            </w:pPr>
            <w:r>
              <w:rPr>
                <w:sz w:val="22"/>
              </w:rPr>
              <w:t xml:space="preserve">The percentage of all pupils who are persistently absent being below 13% </w:t>
            </w:r>
            <w:r>
              <w:rPr>
                <w:i/>
                <w:sz w:val="22"/>
              </w:rPr>
              <w:t>(National figure 2020-21)</w:t>
            </w:r>
            <w:r>
              <w:rPr>
                <w:sz w:val="22"/>
              </w:rPr>
              <w:t xml:space="preserve"> </w:t>
            </w:r>
            <w:r>
              <w:rPr>
                <w:sz w:val="22"/>
              </w:rPr>
              <w:t>and the figure among disadvantaged pupils being no more than 10% more than their peers (</w:t>
            </w:r>
            <w:r>
              <w:rPr>
                <w:i/>
                <w:sz w:val="22"/>
              </w:rPr>
              <w:t>based on National figures 24.1% FSM eligible pupils persistently absent 2020-21)</w:t>
            </w:r>
            <w:r>
              <w:rPr>
                <w:sz w:val="22"/>
              </w:rPr>
              <w:t xml:space="preserve">  </w:t>
            </w:r>
          </w:p>
        </w:tc>
      </w:tr>
      <w:tr w:rsidR="007005FB" w14:paraId="2707146D" w14:textId="77777777">
        <w:trPr>
          <w:trHeight w:val="382"/>
        </w:trPr>
        <w:tc>
          <w:tcPr>
            <w:tcW w:w="4815" w:type="dxa"/>
            <w:tcBorders>
              <w:top w:val="single" w:sz="4" w:space="0" w:color="000000"/>
              <w:left w:val="single" w:sz="4" w:space="0" w:color="000000"/>
              <w:bottom w:val="single" w:sz="4" w:space="0" w:color="000000"/>
              <w:right w:val="single" w:sz="4" w:space="0" w:color="000000"/>
            </w:tcBorders>
          </w:tcPr>
          <w:p w14:paraId="2A9BCA1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35A571A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7" w:firstLine="0"/>
            </w:pPr>
            <w:r>
              <w:rPr>
                <w:sz w:val="22"/>
              </w:rPr>
              <w:t xml:space="preserve"> </w:t>
            </w:r>
          </w:p>
        </w:tc>
      </w:tr>
    </w:tbl>
    <w:p w14:paraId="55A768DF" w14:textId="77777777" w:rsidR="007005FB" w:rsidRDefault="00723699">
      <w:pPr>
        <w:pBdr>
          <w:top w:val="none" w:sz="0" w:space="0" w:color="auto"/>
          <w:left w:val="none" w:sz="0" w:space="0" w:color="auto"/>
          <w:bottom w:val="none" w:sz="0" w:space="0" w:color="auto"/>
          <w:right w:val="none" w:sz="0" w:space="0" w:color="auto"/>
        </w:pBdr>
        <w:spacing w:after="244" w:line="259" w:lineRule="auto"/>
        <w:ind w:left="0" w:firstLine="0"/>
      </w:pPr>
      <w:r>
        <w:rPr>
          <w:b/>
          <w:color w:val="104F75"/>
          <w:sz w:val="32"/>
        </w:rPr>
        <w:t xml:space="preserve"> </w:t>
      </w:r>
    </w:p>
    <w:p w14:paraId="126F1399"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 </w:t>
      </w:r>
      <w:r>
        <w:tab/>
      </w:r>
      <w:r>
        <w:rPr>
          <w:b/>
          <w:color w:val="104F75"/>
          <w:sz w:val="32"/>
        </w:rPr>
        <w:t xml:space="preserve"> </w:t>
      </w:r>
    </w:p>
    <w:p w14:paraId="4A4F8D3A" w14:textId="77777777" w:rsidR="007005FB" w:rsidRDefault="00723699">
      <w:pPr>
        <w:pStyle w:val="Heading2"/>
        <w:ind w:left="-5"/>
      </w:pPr>
      <w:r>
        <w:t xml:space="preserve">Activity in this academic year </w:t>
      </w:r>
    </w:p>
    <w:p w14:paraId="68E9D032" w14:textId="77777777" w:rsidR="007005FB" w:rsidRDefault="00723699">
      <w:pPr>
        <w:pBdr>
          <w:top w:val="none" w:sz="0" w:space="0" w:color="auto"/>
          <w:left w:val="none" w:sz="0" w:space="0" w:color="auto"/>
          <w:bottom w:val="none" w:sz="0" w:space="0" w:color="auto"/>
          <w:right w:val="none" w:sz="0" w:space="0" w:color="auto"/>
        </w:pBdr>
        <w:spacing w:after="545" w:line="259" w:lineRule="auto"/>
        <w:ind w:left="-5"/>
      </w:pPr>
      <w:r>
        <w:t xml:space="preserve">This details how we intend to spend our pupil premium (and recovery premium funding) </w:t>
      </w:r>
      <w:r>
        <w:rPr>
          <w:b/>
        </w:rPr>
        <w:t>this academic year</w:t>
      </w:r>
      <w:r>
        <w:t xml:space="preserve"> to address the challenges listed above. </w:t>
      </w:r>
    </w:p>
    <w:p w14:paraId="6CE4FE1B" w14:textId="77777777" w:rsidR="007005FB" w:rsidRDefault="00723699">
      <w:pPr>
        <w:pStyle w:val="Heading3"/>
        <w:spacing w:after="177"/>
        <w:ind w:left="-5"/>
      </w:pPr>
      <w:r>
        <w:t xml:space="preserve">Teaching (for example, CPD, recruitment and retention) </w:t>
      </w:r>
    </w:p>
    <w:p w14:paraId="27F539E3" w14:textId="77777777" w:rsidR="007005FB" w:rsidRDefault="00723699">
      <w:pPr>
        <w:pBdr>
          <w:top w:val="none" w:sz="0" w:space="0" w:color="auto"/>
          <w:left w:val="none" w:sz="0" w:space="0" w:color="auto"/>
          <w:bottom w:val="none" w:sz="0" w:space="0" w:color="auto"/>
          <w:right w:val="none" w:sz="0" w:space="0" w:color="auto"/>
        </w:pBdr>
        <w:spacing w:after="2" w:line="259" w:lineRule="auto"/>
        <w:ind w:left="-5"/>
      </w:pPr>
      <w:r>
        <w:t xml:space="preserve">Budgeted cost:34,800 </w:t>
      </w:r>
    </w:p>
    <w:tbl>
      <w:tblPr>
        <w:tblStyle w:val="TableGrid"/>
        <w:tblW w:w="9486" w:type="dxa"/>
        <w:tblInd w:w="7" w:type="dxa"/>
        <w:tblCellMar>
          <w:top w:w="16" w:type="dxa"/>
          <w:left w:w="164" w:type="dxa"/>
          <w:bottom w:w="0" w:type="dxa"/>
          <w:right w:w="115" w:type="dxa"/>
        </w:tblCellMar>
        <w:tblLook w:val="04A0" w:firstRow="1" w:lastRow="0" w:firstColumn="1" w:lastColumn="0" w:noHBand="0" w:noVBand="1"/>
      </w:tblPr>
      <w:tblGrid>
        <w:gridCol w:w="2262"/>
        <w:gridCol w:w="5531"/>
        <w:gridCol w:w="1693"/>
      </w:tblGrid>
      <w:tr w:rsidR="007005FB" w14:paraId="2A78E389" w14:textId="77777777">
        <w:trPr>
          <w:trHeight w:val="955"/>
        </w:trPr>
        <w:tc>
          <w:tcPr>
            <w:tcW w:w="2262" w:type="dxa"/>
            <w:tcBorders>
              <w:top w:val="single" w:sz="4" w:space="0" w:color="000000"/>
              <w:left w:val="single" w:sz="4" w:space="0" w:color="000000"/>
              <w:bottom w:val="single" w:sz="4" w:space="0" w:color="000000"/>
              <w:right w:val="single" w:sz="4" w:space="0" w:color="000000"/>
            </w:tcBorders>
            <w:shd w:val="clear" w:color="auto" w:fill="D8E2E9"/>
          </w:tcPr>
          <w:p w14:paraId="05BA787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Activity </w:t>
            </w:r>
          </w:p>
        </w:tc>
        <w:tc>
          <w:tcPr>
            <w:tcW w:w="5530" w:type="dxa"/>
            <w:tcBorders>
              <w:top w:val="single" w:sz="4" w:space="0" w:color="000000"/>
              <w:left w:val="single" w:sz="4" w:space="0" w:color="000000"/>
              <w:bottom w:val="single" w:sz="4" w:space="0" w:color="000000"/>
              <w:right w:val="single" w:sz="4" w:space="0" w:color="000000"/>
            </w:tcBorders>
            <w:shd w:val="clear" w:color="auto" w:fill="D8E2E9"/>
          </w:tcPr>
          <w:p w14:paraId="5DACD7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Evidence that supports this approach </w:t>
            </w:r>
          </w:p>
        </w:tc>
        <w:tc>
          <w:tcPr>
            <w:tcW w:w="1693" w:type="dxa"/>
            <w:tcBorders>
              <w:top w:val="single" w:sz="4" w:space="0" w:color="000000"/>
              <w:left w:val="single" w:sz="4" w:space="0" w:color="000000"/>
              <w:bottom w:val="single" w:sz="4" w:space="0" w:color="000000"/>
              <w:right w:val="single" w:sz="4" w:space="0" w:color="000000"/>
            </w:tcBorders>
            <w:shd w:val="clear" w:color="auto" w:fill="D8E2E9"/>
          </w:tcPr>
          <w:p w14:paraId="4ACCB64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b/>
              </w:rPr>
              <w:t xml:space="preserve">Challenge number(s) addressed </w:t>
            </w:r>
          </w:p>
        </w:tc>
      </w:tr>
      <w:tr w:rsidR="007005FB" w14:paraId="0ADFDCDC" w14:textId="77777777">
        <w:trPr>
          <w:trHeight w:val="2951"/>
        </w:trPr>
        <w:tc>
          <w:tcPr>
            <w:tcW w:w="2262" w:type="dxa"/>
            <w:tcBorders>
              <w:top w:val="single" w:sz="4" w:space="0" w:color="000000"/>
              <w:left w:val="single" w:sz="4" w:space="0" w:color="000000"/>
              <w:bottom w:val="single" w:sz="4" w:space="0" w:color="000000"/>
              <w:right w:val="single" w:sz="4" w:space="0" w:color="000000"/>
            </w:tcBorders>
          </w:tcPr>
          <w:p w14:paraId="7ABDC54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2" w:firstLine="0"/>
            </w:pPr>
            <w:r>
              <w:rPr>
                <w:sz w:val="22"/>
              </w:rPr>
              <w:t xml:space="preserve">Embedding oral language approaches across the curriculum and across the school.  </w:t>
            </w:r>
          </w:p>
        </w:tc>
        <w:tc>
          <w:tcPr>
            <w:tcW w:w="5530" w:type="dxa"/>
            <w:tcBorders>
              <w:top w:val="single" w:sz="4" w:space="0" w:color="000000"/>
              <w:left w:val="single" w:sz="4" w:space="0" w:color="000000"/>
              <w:bottom w:val="single" w:sz="4" w:space="0" w:color="000000"/>
              <w:right w:val="single" w:sz="4" w:space="0" w:color="000000"/>
            </w:tcBorders>
          </w:tcPr>
          <w:p w14:paraId="5D460BB5"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0" w:firstLine="0"/>
            </w:pPr>
            <w:r>
              <w:rPr>
                <w:color w:val="000000"/>
              </w:rPr>
              <w:t xml:space="preserve">There is a strong evidence base that suggests oral language interventions, and the use of shared dialogue to explore meaning (high quality </w:t>
            </w:r>
            <w:proofErr w:type="gramStart"/>
            <w:r>
              <w:rPr>
                <w:color w:val="000000"/>
              </w:rPr>
              <w:t>classroom  discussions</w:t>
            </w:r>
            <w:proofErr w:type="gramEnd"/>
            <w:r>
              <w:rPr>
                <w:color w:val="000000"/>
              </w:rPr>
              <w:t>, targeted reading aloud and book discussion, explicitly extending pupils’ spoken vocabulary, s</w:t>
            </w:r>
            <w:r>
              <w:rPr>
                <w:color w:val="000000"/>
              </w:rPr>
              <w:t xml:space="preserve">tructured questioning), are inexpensive to implement with high impacts on reading:  </w:t>
            </w:r>
          </w:p>
          <w:p w14:paraId="633C139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hyperlink r:id="rId7">
              <w:r>
                <w:rPr>
                  <w:color w:val="0070C0"/>
                  <w:u w:val="single" w:color="0070C0"/>
                </w:rPr>
                <w:t>Oral language interventions | Toolkit Strand | Ed</w:t>
              </w:r>
            </w:hyperlink>
            <w:hyperlink r:id="rId8">
              <w:r>
                <w:rPr>
                  <w:color w:val="0070C0"/>
                  <w:u w:val="single" w:color="0070C0"/>
                </w:rPr>
                <w:t>ucation Endowment Foundation | EEF</w:t>
              </w:r>
            </w:hyperlink>
            <w:hyperlink r:id="rId9">
              <w:r>
                <w:rPr>
                  <w:color w:val="000000"/>
                </w:rPr>
                <w:t xml:space="preserve"> </w:t>
              </w:r>
            </w:hyperlink>
          </w:p>
        </w:tc>
        <w:tc>
          <w:tcPr>
            <w:tcW w:w="1693" w:type="dxa"/>
            <w:tcBorders>
              <w:top w:val="single" w:sz="4" w:space="0" w:color="000000"/>
              <w:left w:val="single" w:sz="4" w:space="0" w:color="000000"/>
              <w:bottom w:val="single" w:sz="4" w:space="0" w:color="000000"/>
              <w:right w:val="single" w:sz="4" w:space="0" w:color="000000"/>
            </w:tcBorders>
          </w:tcPr>
          <w:p w14:paraId="12C7825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1, 2, 3 </w:t>
            </w:r>
          </w:p>
        </w:tc>
      </w:tr>
      <w:tr w:rsidR="007005FB" w14:paraId="7F61C6AC" w14:textId="77777777">
        <w:trPr>
          <w:trHeight w:val="4491"/>
        </w:trPr>
        <w:tc>
          <w:tcPr>
            <w:tcW w:w="2262" w:type="dxa"/>
            <w:tcBorders>
              <w:top w:val="single" w:sz="4" w:space="0" w:color="000000"/>
              <w:left w:val="single" w:sz="4" w:space="0" w:color="000000"/>
              <w:bottom w:val="single" w:sz="4" w:space="0" w:color="000000"/>
              <w:right w:val="single" w:sz="4" w:space="0" w:color="000000"/>
            </w:tcBorders>
          </w:tcPr>
          <w:p w14:paraId="49289F91" w14:textId="77777777" w:rsidR="007005FB" w:rsidRDefault="00723699">
            <w:pPr>
              <w:pBdr>
                <w:top w:val="none" w:sz="0" w:space="0" w:color="auto"/>
                <w:left w:val="none" w:sz="0" w:space="0" w:color="auto"/>
                <w:bottom w:val="none" w:sz="0" w:space="0" w:color="auto"/>
                <w:right w:val="none" w:sz="0" w:space="0" w:color="auto"/>
              </w:pBdr>
              <w:spacing w:after="1" w:line="239" w:lineRule="auto"/>
              <w:ind w:left="2" w:firstLine="0"/>
            </w:pPr>
            <w:r>
              <w:rPr>
                <w:sz w:val="22"/>
              </w:rPr>
              <w:lastRenderedPageBreak/>
              <w:t xml:space="preserve">Enhancement of our maths teaching and curriculum </w:t>
            </w:r>
          </w:p>
          <w:p w14:paraId="367E47A2" w14:textId="77777777" w:rsidR="007005FB" w:rsidRDefault="00723699">
            <w:pPr>
              <w:pBdr>
                <w:top w:val="none" w:sz="0" w:space="0" w:color="auto"/>
                <w:left w:val="none" w:sz="0" w:space="0" w:color="auto"/>
                <w:bottom w:val="none" w:sz="0" w:space="0" w:color="auto"/>
                <w:right w:val="none" w:sz="0" w:space="0" w:color="auto"/>
              </w:pBdr>
              <w:spacing w:after="62" w:line="238" w:lineRule="auto"/>
              <w:ind w:left="2" w:firstLine="0"/>
            </w:pPr>
            <w:r>
              <w:rPr>
                <w:sz w:val="22"/>
              </w:rPr>
              <w:t xml:space="preserve">planning in line with DfE and EEF guidance.  </w:t>
            </w:r>
          </w:p>
          <w:p w14:paraId="258ED00B" w14:textId="77777777" w:rsidR="007005FB" w:rsidRDefault="00723699">
            <w:pPr>
              <w:pBdr>
                <w:top w:val="none" w:sz="0" w:space="0" w:color="auto"/>
                <w:left w:val="none" w:sz="0" w:space="0" w:color="auto"/>
                <w:bottom w:val="none" w:sz="0" w:space="0" w:color="auto"/>
                <w:right w:val="none" w:sz="0" w:space="0" w:color="auto"/>
              </w:pBdr>
              <w:spacing w:after="18" w:line="239" w:lineRule="auto"/>
              <w:ind w:left="2" w:firstLine="0"/>
            </w:pPr>
            <w:r>
              <w:rPr>
                <w:sz w:val="22"/>
              </w:rPr>
              <w:t xml:space="preserve">We will fund teaching release time to embed key elements of guidance in school and to access Maths Hub resources and </w:t>
            </w:r>
            <w:proofErr w:type="gramStart"/>
            <w:r>
              <w:rPr>
                <w:sz w:val="22"/>
              </w:rPr>
              <w:t>CPD(</w:t>
            </w:r>
            <w:proofErr w:type="gramEnd"/>
            <w:r>
              <w:rPr>
                <w:sz w:val="22"/>
              </w:rPr>
              <w:t xml:space="preserve">including Teaching for </w:t>
            </w:r>
          </w:p>
          <w:p w14:paraId="72D006B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2" w:firstLine="0"/>
            </w:pPr>
            <w:r>
              <w:rPr>
                <w:sz w:val="22"/>
              </w:rPr>
              <w:t>Mastery training).</w:t>
            </w:r>
            <w:r>
              <w:rPr>
                <w:i/>
                <w:sz w:val="22"/>
              </w:rPr>
              <w:t xml:space="preserve"> </w:t>
            </w:r>
            <w:r>
              <w:t xml:space="preserve"> </w:t>
            </w:r>
          </w:p>
        </w:tc>
        <w:tc>
          <w:tcPr>
            <w:tcW w:w="5530" w:type="dxa"/>
            <w:tcBorders>
              <w:top w:val="single" w:sz="4" w:space="0" w:color="000000"/>
              <w:left w:val="single" w:sz="4" w:space="0" w:color="000000"/>
              <w:bottom w:val="single" w:sz="4" w:space="0" w:color="000000"/>
              <w:right w:val="single" w:sz="4" w:space="0" w:color="000000"/>
            </w:tcBorders>
          </w:tcPr>
          <w:p w14:paraId="319DA631"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0" w:firstLine="0"/>
            </w:pPr>
            <w:r>
              <w:rPr>
                <w:color w:val="000000"/>
              </w:rPr>
              <w:t>The DfE non-</w:t>
            </w:r>
            <w:r>
              <w:rPr>
                <w:color w:val="000000"/>
              </w:rPr>
              <w:t xml:space="preserve">statutory guidance has been produced in conjunction with the </w:t>
            </w:r>
          </w:p>
          <w:p w14:paraId="07FD833D" w14:textId="77777777" w:rsidR="007005FB" w:rsidRDefault="00723699">
            <w:pPr>
              <w:pBdr>
                <w:top w:val="none" w:sz="0" w:space="0" w:color="auto"/>
                <w:left w:val="none" w:sz="0" w:space="0" w:color="auto"/>
                <w:bottom w:val="none" w:sz="0" w:space="0" w:color="auto"/>
                <w:right w:val="none" w:sz="0" w:space="0" w:color="auto"/>
              </w:pBdr>
              <w:spacing w:after="38" w:line="259" w:lineRule="auto"/>
              <w:ind w:left="0" w:firstLine="0"/>
            </w:pPr>
            <w:r>
              <w:rPr>
                <w:color w:val="000000"/>
              </w:rPr>
              <w:t xml:space="preserve">National Centre for Excellence in the </w:t>
            </w:r>
          </w:p>
          <w:p w14:paraId="23A0820B"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0" w:firstLine="0"/>
            </w:pPr>
            <w:r>
              <w:rPr>
                <w:color w:val="000000"/>
              </w:rPr>
              <w:t xml:space="preserve">Teaching of Mathematics, drawing on </w:t>
            </w:r>
            <w:proofErr w:type="spellStart"/>
            <w:r>
              <w:rPr>
                <w:color w:val="000000"/>
              </w:rPr>
              <w:t>evidencebased</w:t>
            </w:r>
            <w:proofErr w:type="spellEnd"/>
            <w:r>
              <w:rPr>
                <w:color w:val="000000"/>
              </w:rPr>
              <w:t xml:space="preserve"> approaches: </w:t>
            </w:r>
          </w:p>
          <w:p w14:paraId="5FA9B364" w14:textId="77777777" w:rsidR="007005FB" w:rsidRDefault="00723699">
            <w:pPr>
              <w:pBdr>
                <w:top w:val="none" w:sz="0" w:space="0" w:color="auto"/>
                <w:left w:val="none" w:sz="0" w:space="0" w:color="auto"/>
                <w:bottom w:val="none" w:sz="0" w:space="0" w:color="auto"/>
                <w:right w:val="none" w:sz="0" w:space="0" w:color="auto"/>
              </w:pBdr>
              <w:spacing w:after="120" w:line="240" w:lineRule="auto"/>
              <w:ind w:left="0" w:firstLine="0"/>
            </w:pPr>
            <w:hyperlink r:id="rId10">
              <w:r>
                <w:rPr>
                  <w:color w:val="0070C0"/>
                  <w:u w:val="single" w:color="0070C0"/>
                </w:rPr>
                <w:t>Maths_guidance_KS_1_and_2.pdf (publish</w:t>
              </w:r>
            </w:hyperlink>
            <w:hyperlink r:id="rId11">
              <w:r>
                <w:rPr>
                  <w:color w:val="0070C0"/>
                  <w:u w:val="single" w:color="0070C0"/>
                </w:rPr>
                <w:t>ing.service.gov.uk)</w:t>
              </w:r>
            </w:hyperlink>
            <w:hyperlink r:id="rId12">
              <w:r>
                <w:rPr>
                  <w:color w:val="0070C0"/>
                </w:rPr>
                <w:t xml:space="preserve"> </w:t>
              </w:r>
            </w:hyperlink>
          </w:p>
          <w:p w14:paraId="0C53E38A"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0" w:firstLine="0"/>
            </w:pPr>
            <w:r>
              <w:rPr>
                <w:color w:val="000000"/>
              </w:rPr>
              <w:t xml:space="preserve">The EEF guidance is based on a range of the best available evidence:  </w:t>
            </w:r>
          </w:p>
          <w:p w14:paraId="094CE1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Improving Mathematics in Key Stages 2 and 3</w:t>
            </w:r>
            <w:r>
              <w:rPr>
                <w:sz w:val="22"/>
              </w:rPr>
              <w:t xml:space="preserve"> </w:t>
            </w:r>
          </w:p>
        </w:tc>
        <w:tc>
          <w:tcPr>
            <w:tcW w:w="1693" w:type="dxa"/>
            <w:tcBorders>
              <w:top w:val="single" w:sz="4" w:space="0" w:color="000000"/>
              <w:left w:val="single" w:sz="4" w:space="0" w:color="000000"/>
              <w:bottom w:val="single" w:sz="4" w:space="0" w:color="000000"/>
              <w:right w:val="single" w:sz="4" w:space="0" w:color="000000"/>
            </w:tcBorders>
          </w:tcPr>
          <w:p w14:paraId="656C1B5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3 </w:t>
            </w:r>
          </w:p>
        </w:tc>
      </w:tr>
      <w:tr w:rsidR="007005FB" w14:paraId="21307149" w14:textId="77777777">
        <w:trPr>
          <w:trHeight w:val="2890"/>
        </w:trPr>
        <w:tc>
          <w:tcPr>
            <w:tcW w:w="2262" w:type="dxa"/>
            <w:tcBorders>
              <w:top w:val="single" w:sz="4" w:space="0" w:color="000000"/>
              <w:left w:val="single" w:sz="4" w:space="0" w:color="000000"/>
              <w:bottom w:val="single" w:sz="4" w:space="0" w:color="000000"/>
              <w:right w:val="single" w:sz="4" w:space="0" w:color="000000"/>
            </w:tcBorders>
          </w:tcPr>
          <w:p w14:paraId="650FAE2A" w14:textId="77777777" w:rsidR="007005FB" w:rsidRDefault="00723699">
            <w:pPr>
              <w:pBdr>
                <w:top w:val="none" w:sz="0" w:space="0" w:color="auto"/>
                <w:left w:val="none" w:sz="0" w:space="0" w:color="auto"/>
                <w:bottom w:val="none" w:sz="0" w:space="0" w:color="auto"/>
                <w:right w:val="none" w:sz="0" w:space="0" w:color="auto"/>
              </w:pBdr>
              <w:spacing w:after="1" w:line="240" w:lineRule="auto"/>
              <w:ind w:left="2" w:firstLine="0"/>
            </w:pPr>
            <w:r>
              <w:rPr>
                <w:sz w:val="22"/>
              </w:rPr>
              <w:t xml:space="preserve">Enhance our English teaching and curriculum </w:t>
            </w:r>
          </w:p>
          <w:p w14:paraId="259980D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2" w:firstLine="0"/>
            </w:pPr>
            <w:r>
              <w:rPr>
                <w:sz w:val="22"/>
              </w:rPr>
              <w:t xml:space="preserve">planning in line with DfE and EEF guidance.  </w:t>
            </w:r>
          </w:p>
        </w:tc>
        <w:tc>
          <w:tcPr>
            <w:tcW w:w="5530" w:type="dxa"/>
            <w:tcBorders>
              <w:top w:val="single" w:sz="4" w:space="0" w:color="000000"/>
              <w:left w:val="single" w:sz="4" w:space="0" w:color="000000"/>
              <w:bottom w:val="single" w:sz="4" w:space="0" w:color="000000"/>
              <w:right w:val="single" w:sz="4" w:space="0" w:color="000000"/>
            </w:tcBorders>
          </w:tcPr>
          <w:p w14:paraId="0CF15E9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21" w:firstLine="0"/>
            </w:pPr>
            <w:r>
              <w:rPr>
                <w:color w:val="000000"/>
              </w:rPr>
              <w:t xml:space="preserve">Reading comprehension strategies are high impact and alongside phonics it is a crucial component of early reading instruction. Guided and shared reading approaches, along with reading comprehension interventions with TAs, are embedded across the school. A </w:t>
            </w:r>
            <w:r>
              <w:rPr>
                <w:color w:val="000000"/>
              </w:rPr>
              <w:t xml:space="preserve">revised timetable for teaching is also in place, across the school, to ensure daily lessons focusing explicitly on reading comprehension take place in all year groups.  </w:t>
            </w:r>
          </w:p>
        </w:tc>
        <w:tc>
          <w:tcPr>
            <w:tcW w:w="1693" w:type="dxa"/>
            <w:tcBorders>
              <w:top w:val="single" w:sz="4" w:space="0" w:color="000000"/>
              <w:left w:val="single" w:sz="4" w:space="0" w:color="000000"/>
              <w:bottom w:val="single" w:sz="4" w:space="0" w:color="000000"/>
              <w:right w:val="single" w:sz="4" w:space="0" w:color="000000"/>
            </w:tcBorders>
          </w:tcPr>
          <w:p w14:paraId="22C6016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1, 3 </w:t>
            </w:r>
          </w:p>
        </w:tc>
      </w:tr>
      <w:tr w:rsidR="007005FB" w14:paraId="21EF9142" w14:textId="77777777">
        <w:trPr>
          <w:trHeight w:val="900"/>
        </w:trPr>
        <w:tc>
          <w:tcPr>
            <w:tcW w:w="2262" w:type="dxa"/>
            <w:tcBorders>
              <w:top w:val="single" w:sz="4" w:space="0" w:color="000000"/>
              <w:left w:val="single" w:sz="4" w:space="0" w:color="000000"/>
              <w:bottom w:val="single" w:sz="4" w:space="0" w:color="000000"/>
              <w:right w:val="single" w:sz="4" w:space="0" w:color="000000"/>
            </w:tcBorders>
          </w:tcPr>
          <w:p w14:paraId="5A76BF15" w14:textId="77777777" w:rsidR="007005FB" w:rsidRDefault="007005FB">
            <w:pPr>
              <w:spacing w:after="160" w:line="259" w:lineRule="auto"/>
              <w:ind w:left="0" w:firstLine="0"/>
            </w:pPr>
          </w:p>
        </w:tc>
        <w:tc>
          <w:tcPr>
            <w:tcW w:w="5530" w:type="dxa"/>
            <w:tcBorders>
              <w:top w:val="single" w:sz="4" w:space="0" w:color="000000"/>
              <w:left w:val="single" w:sz="4" w:space="0" w:color="000000"/>
              <w:bottom w:val="single" w:sz="4" w:space="0" w:color="000000"/>
              <w:right w:val="single" w:sz="4" w:space="0" w:color="000000"/>
            </w:tcBorders>
          </w:tcPr>
          <w:p w14:paraId="188D5FF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hyperlink r:id="rId13">
              <w:r>
                <w:rPr>
                  <w:color w:val="0070C0"/>
                  <w:u w:val="single" w:color="0070C0"/>
                </w:rPr>
                <w:t>Reading Comprehension Strategies</w:t>
              </w:r>
            </w:hyperlink>
            <w:hyperlink r:id="rId14">
              <w:r>
                <w:rPr>
                  <w:color w:val="0070C0"/>
                  <w:u w:val="single" w:color="0070C0"/>
                </w:rPr>
                <w:t xml:space="preserve"> </w:t>
              </w:r>
            </w:hyperlink>
            <w:hyperlink r:id="rId15">
              <w:r>
                <w:rPr>
                  <w:color w:val="0070C0"/>
                  <w:u w:val="single" w:color="0070C0"/>
                </w:rPr>
                <w:t>| Toolkit</w:t>
              </w:r>
            </w:hyperlink>
            <w:hyperlink r:id="rId16">
              <w:r>
                <w:rPr>
                  <w:color w:val="0070C0"/>
                </w:rPr>
                <w:t xml:space="preserve"> </w:t>
              </w:r>
            </w:hyperlink>
          </w:p>
          <w:p w14:paraId="02A88B8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17" w:firstLine="0"/>
            </w:pPr>
            <w:hyperlink r:id="rId17">
              <w:r>
                <w:rPr>
                  <w:color w:val="0070C0"/>
                  <w:u w:val="single" w:color="0070C0"/>
                </w:rPr>
                <w:t>Strand | Education Endowment Foundation |</w:t>
              </w:r>
            </w:hyperlink>
            <w:hyperlink r:id="rId18">
              <w:r>
                <w:rPr>
                  <w:color w:val="0070C0"/>
                </w:rPr>
                <w:t xml:space="preserve"> </w:t>
              </w:r>
            </w:hyperlink>
            <w:hyperlink r:id="rId19">
              <w:r>
                <w:rPr>
                  <w:color w:val="0070C0"/>
                  <w:u w:val="single" w:color="0070C0"/>
                </w:rPr>
                <w:t>EEF</w:t>
              </w:r>
            </w:hyperlink>
            <w:hyperlink r:id="rId20">
              <w:r>
                <w:rPr>
                  <w:color w:val="000000"/>
                </w:rPr>
                <w:t xml:space="preserve"> </w:t>
              </w:r>
            </w:hyperlink>
          </w:p>
        </w:tc>
        <w:tc>
          <w:tcPr>
            <w:tcW w:w="1693" w:type="dxa"/>
            <w:tcBorders>
              <w:top w:val="single" w:sz="4" w:space="0" w:color="000000"/>
              <w:left w:val="single" w:sz="4" w:space="0" w:color="000000"/>
              <w:bottom w:val="single" w:sz="4" w:space="0" w:color="000000"/>
              <w:right w:val="single" w:sz="4" w:space="0" w:color="000000"/>
            </w:tcBorders>
          </w:tcPr>
          <w:p w14:paraId="16FDCEB4" w14:textId="77777777" w:rsidR="007005FB" w:rsidRDefault="007005FB">
            <w:pPr>
              <w:spacing w:after="160" w:line="259" w:lineRule="auto"/>
              <w:ind w:left="0" w:firstLine="0"/>
            </w:pPr>
          </w:p>
        </w:tc>
      </w:tr>
      <w:tr w:rsidR="007005FB" w14:paraId="3CABA73C" w14:textId="77777777">
        <w:trPr>
          <w:trHeight w:val="2258"/>
        </w:trPr>
        <w:tc>
          <w:tcPr>
            <w:tcW w:w="2262" w:type="dxa"/>
            <w:tcBorders>
              <w:top w:val="single" w:sz="4" w:space="0" w:color="000000"/>
              <w:left w:val="single" w:sz="4" w:space="0" w:color="000000"/>
              <w:bottom w:val="single" w:sz="4" w:space="0" w:color="000000"/>
              <w:right w:val="single" w:sz="4" w:space="0" w:color="000000"/>
            </w:tcBorders>
          </w:tcPr>
          <w:p w14:paraId="7EA44E7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3" w:right="9" w:firstLine="0"/>
            </w:pPr>
            <w:r>
              <w:rPr>
                <w:sz w:val="22"/>
              </w:rPr>
              <w:t xml:space="preserve">Additional phonics sessions targeted at disadvantaged pupils who require further phonics support.  </w:t>
            </w:r>
          </w:p>
        </w:tc>
        <w:tc>
          <w:tcPr>
            <w:tcW w:w="5530" w:type="dxa"/>
            <w:tcBorders>
              <w:top w:val="single" w:sz="4" w:space="0" w:color="000000"/>
              <w:left w:val="single" w:sz="4" w:space="0" w:color="000000"/>
              <w:bottom w:val="single" w:sz="4" w:space="0" w:color="000000"/>
              <w:right w:val="single" w:sz="4" w:space="0" w:color="000000"/>
            </w:tcBorders>
          </w:tcPr>
          <w:p w14:paraId="0064167D" w14:textId="77777777" w:rsidR="007005FB" w:rsidRDefault="00723699">
            <w:pPr>
              <w:pBdr>
                <w:top w:val="none" w:sz="0" w:space="0" w:color="auto"/>
                <w:left w:val="none" w:sz="0" w:space="0" w:color="auto"/>
                <w:bottom w:val="none" w:sz="0" w:space="0" w:color="auto"/>
                <w:right w:val="none" w:sz="0" w:space="0" w:color="auto"/>
              </w:pBdr>
              <w:spacing w:after="78" w:line="239" w:lineRule="auto"/>
              <w:ind w:left="0" w:firstLine="0"/>
            </w:pPr>
            <w:r>
              <w:rPr>
                <w:sz w:val="22"/>
              </w:rPr>
              <w:t>Phonics approaches have a strong evidence base indicating a positive impact on pupils, particularly from disadvantaged backgrounds. Targeted phonics interve</w:t>
            </w:r>
            <w:r>
              <w:rPr>
                <w:sz w:val="22"/>
              </w:rPr>
              <w:t xml:space="preserve">ntions have been shown to be more effective when delivered as regular sessions over a period of up to 12 weeks:  </w:t>
            </w:r>
          </w:p>
          <w:p w14:paraId="1ABF5D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hyperlink r:id="rId21">
              <w:r>
                <w:rPr>
                  <w:color w:val="0070C0"/>
                  <w:u w:val="single" w:color="0070C0"/>
                </w:rPr>
                <w:t>Phonics | Toolkit Strand | Education Endowment</w:t>
              </w:r>
            </w:hyperlink>
            <w:hyperlink r:id="rId22">
              <w:r>
                <w:rPr>
                  <w:color w:val="0070C0"/>
                </w:rPr>
                <w:t xml:space="preserve"> </w:t>
              </w:r>
            </w:hyperlink>
            <w:hyperlink r:id="rId23">
              <w:r>
                <w:rPr>
                  <w:color w:val="0070C0"/>
                  <w:u w:val="single" w:color="0070C0"/>
                </w:rPr>
                <w:t>Foundation | EEF</w:t>
              </w:r>
            </w:hyperlink>
            <w:hyperlink r:id="rId24">
              <w:r>
                <w:rPr>
                  <w:sz w:val="22"/>
                </w:rPr>
                <w:t xml:space="preserve"> </w:t>
              </w:r>
            </w:hyperlink>
          </w:p>
        </w:tc>
        <w:tc>
          <w:tcPr>
            <w:tcW w:w="1693" w:type="dxa"/>
            <w:tcBorders>
              <w:top w:val="single" w:sz="4" w:space="0" w:color="000000"/>
              <w:left w:val="single" w:sz="4" w:space="0" w:color="000000"/>
              <w:bottom w:val="single" w:sz="4" w:space="0" w:color="000000"/>
              <w:right w:val="single" w:sz="4" w:space="0" w:color="000000"/>
            </w:tcBorders>
          </w:tcPr>
          <w:p w14:paraId="3A6B2D0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2 </w:t>
            </w:r>
          </w:p>
        </w:tc>
      </w:tr>
    </w:tbl>
    <w:p w14:paraId="203B7108" w14:textId="77777777" w:rsidR="007005FB" w:rsidRDefault="00723699">
      <w:pPr>
        <w:pBdr>
          <w:top w:val="none" w:sz="0" w:space="0" w:color="auto"/>
          <w:left w:val="none" w:sz="0" w:space="0" w:color="auto"/>
          <w:bottom w:val="none" w:sz="0" w:space="0" w:color="auto"/>
          <w:right w:val="none" w:sz="0" w:space="0" w:color="auto"/>
        </w:pBdr>
        <w:spacing w:after="129" w:line="259" w:lineRule="auto"/>
        <w:ind w:left="0" w:firstLine="0"/>
      </w:pPr>
      <w:r>
        <w:t xml:space="preserve"> </w:t>
      </w:r>
    </w:p>
    <w:p w14:paraId="236BF748" w14:textId="77777777" w:rsidR="007005FB" w:rsidRDefault="00723699">
      <w:pPr>
        <w:pStyle w:val="Heading3"/>
        <w:ind w:left="-5"/>
      </w:pPr>
      <w:r>
        <w:t xml:space="preserve">Targeted academic support (for example, tutoring, one-to-one support structured interventions)  </w:t>
      </w:r>
    </w:p>
    <w:p w14:paraId="7FFA418B" w14:textId="77777777" w:rsidR="007005FB" w:rsidRDefault="00723699">
      <w:pPr>
        <w:pBdr>
          <w:top w:val="none" w:sz="0" w:space="0" w:color="auto"/>
          <w:left w:val="none" w:sz="0" w:space="0" w:color="auto"/>
          <w:bottom w:val="none" w:sz="0" w:space="0" w:color="auto"/>
          <w:right w:val="none" w:sz="0" w:space="0" w:color="auto"/>
        </w:pBdr>
        <w:spacing w:after="2" w:line="259" w:lineRule="auto"/>
        <w:ind w:left="-5"/>
      </w:pPr>
      <w:r>
        <w:t xml:space="preserve">Budgeted cost: £22,000 </w:t>
      </w:r>
    </w:p>
    <w:tbl>
      <w:tblPr>
        <w:tblStyle w:val="TableGrid"/>
        <w:tblW w:w="9486" w:type="dxa"/>
        <w:tblInd w:w="7" w:type="dxa"/>
        <w:tblCellMar>
          <w:top w:w="71" w:type="dxa"/>
          <w:left w:w="166" w:type="dxa"/>
          <w:bottom w:w="0" w:type="dxa"/>
          <w:right w:w="125" w:type="dxa"/>
        </w:tblCellMar>
        <w:tblLook w:val="04A0" w:firstRow="1" w:lastRow="0" w:firstColumn="1" w:lastColumn="0" w:noHBand="0" w:noVBand="1"/>
      </w:tblPr>
      <w:tblGrid>
        <w:gridCol w:w="2689"/>
        <w:gridCol w:w="4254"/>
        <w:gridCol w:w="2543"/>
      </w:tblGrid>
      <w:tr w:rsidR="007005FB" w14:paraId="60B03FC1" w14:textId="77777777">
        <w:trPr>
          <w:trHeight w:val="954"/>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3EB1812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Activity </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Pr>
          <w:p w14:paraId="3AB3D72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b/>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20510EC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Challenge number(s) addressed </w:t>
            </w:r>
          </w:p>
        </w:tc>
      </w:tr>
      <w:tr w:rsidR="007005FB" w14:paraId="2D9DE547" w14:textId="77777777">
        <w:trPr>
          <w:trHeight w:val="2286"/>
        </w:trPr>
        <w:tc>
          <w:tcPr>
            <w:tcW w:w="2688" w:type="dxa"/>
            <w:tcBorders>
              <w:top w:val="single" w:sz="4" w:space="0" w:color="000000"/>
              <w:left w:val="single" w:sz="4" w:space="0" w:color="000000"/>
              <w:bottom w:val="single" w:sz="4" w:space="0" w:color="000000"/>
              <w:right w:val="single" w:sz="4" w:space="0" w:color="000000"/>
            </w:tcBorders>
          </w:tcPr>
          <w:p w14:paraId="648AC50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jc w:val="both"/>
            </w:pPr>
            <w:r>
              <w:lastRenderedPageBreak/>
              <w:t>Targeted small group tuition/ intervention</w:t>
            </w:r>
            <w:r>
              <w:rPr>
                <w:i/>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3AB659D1" w14:textId="77777777" w:rsidR="007005FB" w:rsidRDefault="00723699">
            <w:pPr>
              <w:pBdr>
                <w:top w:val="none" w:sz="0" w:space="0" w:color="auto"/>
                <w:left w:val="none" w:sz="0" w:space="0" w:color="auto"/>
                <w:bottom w:val="none" w:sz="0" w:space="0" w:color="auto"/>
                <w:right w:val="none" w:sz="0" w:space="0" w:color="auto"/>
              </w:pBdr>
              <w:spacing w:after="81" w:line="239" w:lineRule="auto"/>
              <w:ind w:left="1" w:firstLine="0"/>
            </w:pPr>
            <w:r>
              <w:rPr>
                <w:sz w:val="22"/>
              </w:rPr>
              <w:t xml:space="preserve">Small group tuition has an average impact of 4 months’ additional progress over the course of a year, when it is targeted at specific needs and based on diagnostic assessment.  </w:t>
            </w:r>
          </w:p>
          <w:p w14:paraId="00A0757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right="38" w:firstLine="0"/>
            </w:pPr>
            <w:hyperlink r:id="rId25">
              <w:r>
                <w:rPr>
                  <w:color w:val="0070C0"/>
                  <w:u w:val="single" w:color="0070C0"/>
                </w:rPr>
                <w:t>Small Group Tuition</w:t>
              </w:r>
            </w:hyperlink>
            <w:hyperlink r:id="rId26">
              <w:r>
                <w:rPr>
                  <w:color w:val="0070C0"/>
                  <w:u w:val="single" w:color="0070C0"/>
                </w:rPr>
                <w:t xml:space="preserve"> </w:t>
              </w:r>
            </w:hyperlink>
            <w:hyperlink r:id="rId27">
              <w:r>
                <w:rPr>
                  <w:color w:val="0070C0"/>
                  <w:u w:val="single" w:color="0070C0"/>
                </w:rPr>
                <w:t>| Toolkit Strand</w:t>
              </w:r>
            </w:hyperlink>
            <w:hyperlink r:id="rId28">
              <w:r>
                <w:rPr>
                  <w:color w:val="0070C0"/>
                </w:rPr>
                <w:t xml:space="preserve"> </w:t>
              </w:r>
            </w:hyperlink>
            <w:hyperlink r:id="rId29">
              <w:r>
                <w:rPr>
                  <w:color w:val="0070C0"/>
                  <w:u w:val="single" w:color="0070C0"/>
                </w:rPr>
                <w:t>| Education Endowment Foundation</w:t>
              </w:r>
            </w:hyperlink>
            <w:hyperlink r:id="rId30">
              <w:r>
                <w:rPr>
                  <w:color w:val="0070C0"/>
                </w:rPr>
                <w:t xml:space="preserve"> </w:t>
              </w:r>
            </w:hyperlink>
            <w:hyperlink r:id="rId31">
              <w:r>
                <w:rPr>
                  <w:color w:val="0070C0"/>
                  <w:u w:val="single" w:color="0070C0"/>
                </w:rPr>
                <w:t>| EEF</w:t>
              </w:r>
            </w:hyperlink>
            <w:hyperlink r:id="rId32">
              <w:r>
                <w:rPr>
                  <w:sz w:val="22"/>
                </w:rPr>
                <w:t xml:space="preserve"> </w:t>
              </w:r>
            </w:hyperlink>
          </w:p>
        </w:tc>
        <w:tc>
          <w:tcPr>
            <w:tcW w:w="2543" w:type="dxa"/>
            <w:tcBorders>
              <w:top w:val="single" w:sz="4" w:space="0" w:color="000000"/>
              <w:left w:val="single" w:sz="4" w:space="0" w:color="000000"/>
              <w:bottom w:val="single" w:sz="4" w:space="0" w:color="000000"/>
              <w:right w:val="single" w:sz="4" w:space="0" w:color="000000"/>
            </w:tcBorders>
          </w:tcPr>
          <w:p w14:paraId="26C6A468"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3 </w:t>
            </w:r>
          </w:p>
        </w:tc>
      </w:tr>
      <w:tr w:rsidR="007005FB" w14:paraId="5AF79B30" w14:textId="77777777">
        <w:trPr>
          <w:trHeight w:val="382"/>
        </w:trPr>
        <w:tc>
          <w:tcPr>
            <w:tcW w:w="2688" w:type="dxa"/>
            <w:tcBorders>
              <w:top w:val="single" w:sz="4" w:space="0" w:color="000000"/>
              <w:left w:val="single" w:sz="4" w:space="0" w:color="000000"/>
              <w:bottom w:val="single" w:sz="4" w:space="0" w:color="000000"/>
              <w:right w:val="single" w:sz="4" w:space="0" w:color="000000"/>
            </w:tcBorders>
          </w:tcPr>
          <w:p w14:paraId="1D719C5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2A867E2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1" w:firstLine="0"/>
            </w:pPr>
            <w:r>
              <w:rPr>
                <w:sz w:val="22"/>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04A221C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 </w:t>
            </w:r>
          </w:p>
        </w:tc>
      </w:tr>
    </w:tbl>
    <w:p w14:paraId="68095D3C" w14:textId="77777777" w:rsidR="007005FB" w:rsidRDefault="00723699">
      <w:pPr>
        <w:pBdr>
          <w:top w:val="none" w:sz="0" w:space="0" w:color="auto"/>
          <w:left w:val="none" w:sz="0" w:space="0" w:color="auto"/>
          <w:bottom w:val="none" w:sz="0" w:space="0" w:color="auto"/>
          <w:right w:val="none" w:sz="0" w:space="0" w:color="auto"/>
        </w:pBdr>
        <w:spacing w:after="38" w:line="259" w:lineRule="auto"/>
        <w:ind w:left="0" w:firstLine="0"/>
      </w:pPr>
      <w:r>
        <w:rPr>
          <w:b/>
          <w:color w:val="104F75"/>
          <w:sz w:val="28"/>
        </w:rPr>
        <w:t xml:space="preserve"> </w:t>
      </w:r>
    </w:p>
    <w:p w14:paraId="4A4AB265" w14:textId="77777777" w:rsidR="007005FB" w:rsidRDefault="00723699">
      <w:pPr>
        <w:pStyle w:val="Heading3"/>
        <w:ind w:left="-5"/>
      </w:pPr>
      <w:r>
        <w:t xml:space="preserve">Wider strategies (for example, related to attendance, behaviour, wellbeing) </w:t>
      </w:r>
    </w:p>
    <w:p w14:paraId="2EAAA03D" w14:textId="77777777" w:rsidR="007005FB" w:rsidRDefault="00723699">
      <w:pPr>
        <w:pBdr>
          <w:top w:val="none" w:sz="0" w:space="0" w:color="auto"/>
          <w:left w:val="none" w:sz="0" w:space="0" w:color="auto"/>
          <w:bottom w:val="none" w:sz="0" w:space="0" w:color="auto"/>
          <w:right w:val="none" w:sz="0" w:space="0" w:color="auto"/>
        </w:pBdr>
        <w:spacing w:after="2" w:line="259" w:lineRule="auto"/>
        <w:ind w:left="-5"/>
      </w:pPr>
      <w:r>
        <w:t xml:space="preserve">Budgeted cost: £21,200 </w:t>
      </w:r>
    </w:p>
    <w:tbl>
      <w:tblPr>
        <w:tblStyle w:val="TableGrid"/>
        <w:tblW w:w="10057" w:type="dxa"/>
        <w:tblInd w:w="-565" w:type="dxa"/>
        <w:tblCellMar>
          <w:top w:w="73" w:type="dxa"/>
          <w:left w:w="108" w:type="dxa"/>
          <w:bottom w:w="0" w:type="dxa"/>
          <w:right w:w="118" w:type="dxa"/>
        </w:tblCellMar>
        <w:tblLook w:val="04A0" w:firstRow="1" w:lastRow="0" w:firstColumn="1" w:lastColumn="0" w:noHBand="0" w:noVBand="1"/>
      </w:tblPr>
      <w:tblGrid>
        <w:gridCol w:w="2409"/>
        <w:gridCol w:w="6098"/>
        <w:gridCol w:w="1550"/>
      </w:tblGrid>
      <w:tr w:rsidR="007005FB" w14:paraId="0AE050BD" w14:textId="77777777">
        <w:trPr>
          <w:trHeight w:val="954"/>
        </w:trPr>
        <w:tc>
          <w:tcPr>
            <w:tcW w:w="2409" w:type="dxa"/>
            <w:tcBorders>
              <w:top w:val="single" w:sz="4" w:space="0" w:color="000000"/>
              <w:left w:val="single" w:sz="4" w:space="0" w:color="000000"/>
              <w:bottom w:val="single" w:sz="4" w:space="0" w:color="000000"/>
              <w:right w:val="single" w:sz="4" w:space="0" w:color="000000"/>
            </w:tcBorders>
            <w:shd w:val="clear" w:color="auto" w:fill="D8E2E9"/>
          </w:tcPr>
          <w:p w14:paraId="62D20BF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6" w:firstLine="0"/>
            </w:pPr>
            <w:r>
              <w:rPr>
                <w:b/>
              </w:rPr>
              <w:t xml:space="preserve">Activity </w:t>
            </w:r>
          </w:p>
        </w:tc>
        <w:tc>
          <w:tcPr>
            <w:tcW w:w="6098" w:type="dxa"/>
            <w:tcBorders>
              <w:top w:val="single" w:sz="4" w:space="0" w:color="000000"/>
              <w:left w:val="single" w:sz="4" w:space="0" w:color="000000"/>
              <w:bottom w:val="single" w:sz="4" w:space="0" w:color="000000"/>
              <w:right w:val="single" w:sz="4" w:space="0" w:color="000000"/>
            </w:tcBorders>
            <w:shd w:val="clear" w:color="auto" w:fill="D8E2E9"/>
          </w:tcPr>
          <w:p w14:paraId="2F20F6D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b/>
              </w:rPr>
              <w:t xml:space="preserve">Evidence that supports this approach </w:t>
            </w:r>
          </w:p>
        </w:tc>
        <w:tc>
          <w:tcPr>
            <w:tcW w:w="1550" w:type="dxa"/>
            <w:tcBorders>
              <w:top w:val="single" w:sz="4" w:space="0" w:color="000000"/>
              <w:left w:val="single" w:sz="4" w:space="0" w:color="000000"/>
              <w:bottom w:val="single" w:sz="4" w:space="0" w:color="000000"/>
              <w:right w:val="single" w:sz="4" w:space="0" w:color="000000"/>
            </w:tcBorders>
            <w:shd w:val="clear" w:color="auto" w:fill="D8E2E9"/>
          </w:tcPr>
          <w:p w14:paraId="1EAA6B3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b/>
              </w:rPr>
              <w:t xml:space="preserve">Challenge number(s) addressed </w:t>
            </w:r>
          </w:p>
        </w:tc>
      </w:tr>
      <w:tr w:rsidR="007005FB" w14:paraId="3FF4CE5B" w14:textId="77777777">
        <w:trPr>
          <w:trHeight w:val="2663"/>
        </w:trPr>
        <w:tc>
          <w:tcPr>
            <w:tcW w:w="2409" w:type="dxa"/>
            <w:tcBorders>
              <w:top w:val="single" w:sz="4" w:space="0" w:color="000000"/>
              <w:left w:val="single" w:sz="4" w:space="0" w:color="000000"/>
              <w:bottom w:val="single" w:sz="4" w:space="0" w:color="000000"/>
              <w:right w:val="single" w:sz="4" w:space="0" w:color="000000"/>
            </w:tcBorders>
          </w:tcPr>
          <w:p w14:paraId="5A860CC5" w14:textId="77777777" w:rsidR="007005FB" w:rsidRDefault="00723699">
            <w:pPr>
              <w:pBdr>
                <w:top w:val="none" w:sz="0" w:space="0" w:color="auto"/>
                <w:left w:val="none" w:sz="0" w:space="0" w:color="auto"/>
                <w:bottom w:val="none" w:sz="0" w:space="0" w:color="auto"/>
                <w:right w:val="none" w:sz="0" w:space="0" w:color="auto"/>
              </w:pBdr>
              <w:spacing w:after="59" w:line="239" w:lineRule="auto"/>
              <w:ind w:left="56" w:right="22" w:firstLine="0"/>
            </w:pPr>
            <w:r>
              <w:rPr>
                <w:sz w:val="22"/>
              </w:rPr>
              <w:t xml:space="preserve">Improve the quality of social and emotional (SEL) learning.  </w:t>
            </w:r>
          </w:p>
          <w:p w14:paraId="63A4BE8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6" w:firstLine="0"/>
            </w:pPr>
            <w:r>
              <w:rPr>
                <w:sz w:val="22"/>
              </w:rPr>
              <w:t xml:space="preserve">SEL approaches will be embedded into routine educational practices and supported by professional </w:t>
            </w:r>
          </w:p>
        </w:tc>
        <w:tc>
          <w:tcPr>
            <w:tcW w:w="6098" w:type="dxa"/>
            <w:tcBorders>
              <w:top w:val="single" w:sz="4" w:space="0" w:color="000000"/>
              <w:left w:val="single" w:sz="4" w:space="0" w:color="000000"/>
              <w:bottom w:val="single" w:sz="4" w:space="0" w:color="000000"/>
              <w:right w:val="single" w:sz="4" w:space="0" w:color="000000"/>
            </w:tcBorders>
          </w:tcPr>
          <w:p w14:paraId="422F1106" w14:textId="77777777" w:rsidR="007005FB" w:rsidRDefault="00723699">
            <w:pPr>
              <w:pBdr>
                <w:top w:val="none" w:sz="0" w:space="0" w:color="auto"/>
                <w:left w:val="none" w:sz="0" w:space="0" w:color="auto"/>
                <w:bottom w:val="none" w:sz="0" w:space="0" w:color="auto"/>
                <w:right w:val="none" w:sz="0" w:space="0" w:color="auto"/>
              </w:pBdr>
              <w:spacing w:after="50" w:line="249" w:lineRule="auto"/>
              <w:ind w:left="58" w:firstLine="0"/>
            </w:pPr>
            <w:r>
              <w:rPr>
                <w:sz w:val="22"/>
              </w:rPr>
              <w:t xml:space="preserve">There is extensive evidence associating childhood social and emotional skills with improved outcomes at school and in later life (e.g., improved academic performance, attitudes, behaviour and relationships with peers): </w:t>
            </w:r>
            <w:hyperlink r:id="rId33">
              <w:r>
                <w:rPr>
                  <w:color w:val="0070C0"/>
                  <w:u w:val="single" w:color="0070C0"/>
                </w:rPr>
                <w:t>EEF_Social_and_Emotional_Learning.pdf(</w:t>
              </w:r>
              <w:proofErr w:type="spellStart"/>
              <w:r>
                <w:rPr>
                  <w:color w:val="0070C0"/>
                  <w:u w:val="single" w:color="0070C0"/>
                </w:rPr>
                <w:t>educatione</w:t>
              </w:r>
              <w:proofErr w:type="spellEnd"/>
              <w:r>
                <w:rPr>
                  <w:color w:val="0070C0"/>
                  <w:u w:val="single" w:color="0070C0"/>
                </w:rPr>
                <w:t xml:space="preserve"> </w:t>
              </w:r>
            </w:hyperlink>
            <w:hyperlink r:id="rId34">
              <w:r>
                <w:rPr>
                  <w:color w:val="0070C0"/>
                  <w:u w:val="single" w:color="0070C0"/>
                </w:rPr>
                <w:t>ndowmentfoundation.org.uk)</w:t>
              </w:r>
            </w:hyperlink>
            <w:hyperlink r:id="rId35">
              <w:r>
                <w:rPr>
                  <w:color w:val="0070C0"/>
                </w:rPr>
                <w:t xml:space="preserve"> </w:t>
              </w:r>
            </w:hyperlink>
          </w:p>
          <w:p w14:paraId="22ACD8F1" w14:textId="77777777" w:rsidR="007005FB" w:rsidRDefault="00723699">
            <w:pPr>
              <w:pBdr>
                <w:top w:val="none" w:sz="0" w:space="0" w:color="auto"/>
                <w:left w:val="none" w:sz="0" w:space="0" w:color="auto"/>
                <w:bottom w:val="none" w:sz="0" w:space="0" w:color="auto"/>
                <w:right w:val="none" w:sz="0" w:space="0" w:color="auto"/>
              </w:pBdr>
              <w:spacing w:after="19" w:line="259" w:lineRule="auto"/>
              <w:ind w:left="58" w:firstLine="0"/>
            </w:pPr>
            <w:r>
              <w:rPr>
                <w:color w:val="0070C0"/>
              </w:rPr>
              <w:t xml:space="preserve"> </w:t>
            </w:r>
          </w:p>
          <w:p w14:paraId="5C0B4D2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jc w:val="both"/>
            </w:pPr>
            <w:r>
              <w:rPr>
                <w:sz w:val="22"/>
              </w:rPr>
              <w:t xml:space="preserve">We have a trained mental health lead, to support all staff to develop a better understanding of our pupils’ needs, give </w:t>
            </w:r>
          </w:p>
        </w:tc>
        <w:tc>
          <w:tcPr>
            <w:tcW w:w="1550" w:type="dxa"/>
            <w:tcBorders>
              <w:top w:val="single" w:sz="4" w:space="0" w:color="000000"/>
              <w:left w:val="single" w:sz="4" w:space="0" w:color="000000"/>
              <w:bottom w:val="single" w:sz="4" w:space="0" w:color="000000"/>
              <w:right w:val="single" w:sz="4" w:space="0" w:color="000000"/>
            </w:tcBorders>
          </w:tcPr>
          <w:p w14:paraId="389B7C1A"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4, 5 </w:t>
            </w:r>
          </w:p>
        </w:tc>
      </w:tr>
    </w:tbl>
    <w:p w14:paraId="2D9D5BE4" w14:textId="77777777" w:rsidR="007005FB" w:rsidRDefault="007005FB">
      <w:pPr>
        <w:pBdr>
          <w:top w:val="none" w:sz="0" w:space="0" w:color="auto"/>
          <w:left w:val="none" w:sz="0" w:space="0" w:color="auto"/>
          <w:bottom w:val="none" w:sz="0" w:space="0" w:color="auto"/>
          <w:right w:val="none" w:sz="0" w:space="0" w:color="auto"/>
        </w:pBdr>
        <w:spacing w:after="0" w:line="259" w:lineRule="auto"/>
        <w:ind w:left="-1133" w:right="10523" w:firstLine="0"/>
      </w:pPr>
    </w:p>
    <w:tbl>
      <w:tblPr>
        <w:tblStyle w:val="TableGrid"/>
        <w:tblW w:w="10058" w:type="dxa"/>
        <w:tblInd w:w="-566" w:type="dxa"/>
        <w:tblCellMar>
          <w:top w:w="13" w:type="dxa"/>
          <w:left w:w="108" w:type="dxa"/>
          <w:bottom w:w="0" w:type="dxa"/>
          <w:right w:w="110" w:type="dxa"/>
        </w:tblCellMar>
        <w:tblLook w:val="04A0" w:firstRow="1" w:lastRow="0" w:firstColumn="1" w:lastColumn="0" w:noHBand="0" w:noVBand="1"/>
      </w:tblPr>
      <w:tblGrid>
        <w:gridCol w:w="2410"/>
        <w:gridCol w:w="6098"/>
        <w:gridCol w:w="1550"/>
      </w:tblGrid>
      <w:tr w:rsidR="007005FB" w14:paraId="3EFE5E68" w14:textId="77777777">
        <w:trPr>
          <w:trHeight w:val="3852"/>
        </w:trPr>
        <w:tc>
          <w:tcPr>
            <w:tcW w:w="2410" w:type="dxa"/>
            <w:tcBorders>
              <w:top w:val="single" w:sz="4" w:space="0" w:color="000000"/>
              <w:left w:val="single" w:sz="4" w:space="0" w:color="000000"/>
              <w:bottom w:val="single" w:sz="4" w:space="0" w:color="000000"/>
              <w:right w:val="single" w:sz="4" w:space="0" w:color="000000"/>
            </w:tcBorders>
          </w:tcPr>
          <w:p w14:paraId="08DB03B6" w14:textId="77777777" w:rsidR="007005FB" w:rsidRDefault="00723699">
            <w:pPr>
              <w:pBdr>
                <w:top w:val="none" w:sz="0" w:space="0" w:color="auto"/>
                <w:left w:val="none" w:sz="0" w:space="0" w:color="auto"/>
                <w:bottom w:val="none" w:sz="0" w:space="0" w:color="auto"/>
                <w:right w:val="none" w:sz="0" w:space="0" w:color="auto"/>
              </w:pBdr>
              <w:spacing w:after="60" w:line="238" w:lineRule="auto"/>
              <w:ind w:left="58" w:firstLine="0"/>
            </w:pPr>
            <w:r>
              <w:rPr>
                <w:sz w:val="22"/>
              </w:rPr>
              <w:t xml:space="preserve">development and training for staff. </w:t>
            </w:r>
          </w:p>
          <w:p w14:paraId="552A1457" w14:textId="77777777" w:rsidR="007005FB" w:rsidRDefault="00723699">
            <w:pPr>
              <w:pBdr>
                <w:top w:val="none" w:sz="0" w:space="0" w:color="auto"/>
                <w:left w:val="none" w:sz="0" w:space="0" w:color="auto"/>
                <w:bottom w:val="none" w:sz="0" w:space="0" w:color="auto"/>
                <w:right w:val="none" w:sz="0" w:space="0" w:color="auto"/>
              </w:pBdr>
              <w:spacing w:after="58" w:line="240" w:lineRule="auto"/>
              <w:ind w:left="58" w:firstLine="0"/>
            </w:pPr>
            <w:r>
              <w:rPr>
                <w:sz w:val="22"/>
              </w:rPr>
              <w:t xml:space="preserve">(Trauma Informed </w:t>
            </w:r>
            <w:proofErr w:type="gramStart"/>
            <w:r>
              <w:rPr>
                <w:sz w:val="22"/>
              </w:rPr>
              <w:t>Practice)ELSA</w:t>
            </w:r>
            <w:proofErr w:type="gramEnd"/>
            <w:r>
              <w:rPr>
                <w:sz w:val="22"/>
              </w:rPr>
              <w:t xml:space="preserve">, Play therapist, Family Support Worker </w:t>
            </w:r>
          </w:p>
          <w:p w14:paraId="4A5B226D" w14:textId="77777777" w:rsidR="007005FB" w:rsidRDefault="00723699">
            <w:pPr>
              <w:pBdr>
                <w:top w:val="none" w:sz="0" w:space="0" w:color="auto"/>
                <w:left w:val="none" w:sz="0" w:space="0" w:color="auto"/>
                <w:bottom w:val="none" w:sz="0" w:space="0" w:color="auto"/>
                <w:right w:val="none" w:sz="0" w:space="0" w:color="auto"/>
              </w:pBdr>
              <w:spacing w:after="40" w:line="259" w:lineRule="auto"/>
              <w:ind w:left="58" w:firstLine="0"/>
            </w:pPr>
            <w:r>
              <w:rPr>
                <w:i/>
                <w:sz w:val="22"/>
              </w:rPr>
              <w:t xml:space="preserve"> </w:t>
            </w:r>
          </w:p>
          <w:p w14:paraId="25447AC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Introduction of a new </w:t>
            </w:r>
          </w:p>
          <w:p w14:paraId="4F25F8B5" w14:textId="77777777" w:rsidR="007005FB" w:rsidRDefault="00723699">
            <w:pPr>
              <w:pBdr>
                <w:top w:val="none" w:sz="0" w:space="0" w:color="auto"/>
                <w:left w:val="none" w:sz="0" w:space="0" w:color="auto"/>
                <w:bottom w:val="none" w:sz="0" w:space="0" w:color="auto"/>
                <w:right w:val="none" w:sz="0" w:space="0" w:color="auto"/>
              </w:pBdr>
              <w:spacing w:after="62" w:line="238" w:lineRule="auto"/>
              <w:ind w:left="58" w:firstLine="0"/>
            </w:pPr>
            <w:r>
              <w:rPr>
                <w:sz w:val="22"/>
              </w:rPr>
              <w:t xml:space="preserve">PSHE curriculum (1decision) </w:t>
            </w:r>
          </w:p>
          <w:p w14:paraId="7EC3133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Family Support </w:t>
            </w:r>
          </w:p>
          <w:p w14:paraId="1CC6030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Worker (ELSA, </w:t>
            </w:r>
          </w:p>
          <w:p w14:paraId="736FAEC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jc w:val="both"/>
            </w:pPr>
            <w:r>
              <w:rPr>
                <w:sz w:val="22"/>
              </w:rPr>
              <w:t>Bereavement), Play Therapist, ELSA</w:t>
            </w:r>
            <w:r>
              <w:t xml:space="preserve"> </w:t>
            </w:r>
          </w:p>
        </w:tc>
        <w:tc>
          <w:tcPr>
            <w:tcW w:w="6098" w:type="dxa"/>
            <w:tcBorders>
              <w:top w:val="single" w:sz="4" w:space="0" w:color="000000"/>
              <w:left w:val="single" w:sz="4" w:space="0" w:color="000000"/>
              <w:bottom w:val="single" w:sz="4" w:space="0" w:color="000000"/>
              <w:right w:val="single" w:sz="4" w:space="0" w:color="000000"/>
            </w:tcBorders>
          </w:tcPr>
          <w:p w14:paraId="1E923808"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sz w:val="22"/>
              </w:rPr>
              <w:t xml:space="preserve">pupils a voice in how we address wellbeing, and support more effective collaboration with parents.  </w:t>
            </w:r>
          </w:p>
        </w:tc>
        <w:tc>
          <w:tcPr>
            <w:tcW w:w="1550" w:type="dxa"/>
            <w:tcBorders>
              <w:top w:val="single" w:sz="4" w:space="0" w:color="000000"/>
              <w:left w:val="single" w:sz="4" w:space="0" w:color="000000"/>
              <w:bottom w:val="single" w:sz="4" w:space="0" w:color="000000"/>
              <w:right w:val="single" w:sz="4" w:space="0" w:color="000000"/>
            </w:tcBorders>
          </w:tcPr>
          <w:p w14:paraId="6A7C560F" w14:textId="77777777" w:rsidR="007005FB" w:rsidRDefault="007005FB">
            <w:pPr>
              <w:spacing w:after="160" w:line="259" w:lineRule="auto"/>
              <w:ind w:left="0" w:firstLine="0"/>
            </w:pPr>
          </w:p>
        </w:tc>
      </w:tr>
      <w:tr w:rsidR="007005FB" w14:paraId="5B8E582B" w14:textId="77777777">
        <w:trPr>
          <w:trHeight w:val="3140"/>
        </w:trPr>
        <w:tc>
          <w:tcPr>
            <w:tcW w:w="2410" w:type="dxa"/>
            <w:tcBorders>
              <w:top w:val="single" w:sz="4" w:space="0" w:color="000000"/>
              <w:left w:val="single" w:sz="4" w:space="0" w:color="000000"/>
              <w:bottom w:val="single" w:sz="4" w:space="0" w:color="000000"/>
              <w:right w:val="single" w:sz="4" w:space="0" w:color="000000"/>
            </w:tcBorders>
          </w:tcPr>
          <w:p w14:paraId="3F78974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right="6" w:firstLine="0"/>
            </w:pPr>
            <w:r>
              <w:rPr>
                <w:sz w:val="22"/>
              </w:rPr>
              <w:lastRenderedPageBreak/>
              <w:t xml:space="preserve">Provision of school uniform vouchers for disadvantaged pupils.  </w:t>
            </w:r>
          </w:p>
        </w:tc>
        <w:tc>
          <w:tcPr>
            <w:tcW w:w="6098" w:type="dxa"/>
            <w:tcBorders>
              <w:top w:val="single" w:sz="4" w:space="0" w:color="000000"/>
              <w:left w:val="single" w:sz="4" w:space="0" w:color="000000"/>
              <w:bottom w:val="single" w:sz="4" w:space="0" w:color="000000"/>
              <w:right w:val="single" w:sz="4" w:space="0" w:color="000000"/>
            </w:tcBorders>
          </w:tcPr>
          <w:p w14:paraId="10500397" w14:textId="77777777" w:rsidR="007005FB" w:rsidRDefault="00723699">
            <w:pPr>
              <w:pBdr>
                <w:top w:val="none" w:sz="0" w:space="0" w:color="auto"/>
                <w:left w:val="none" w:sz="0" w:space="0" w:color="auto"/>
                <w:bottom w:val="none" w:sz="0" w:space="0" w:color="auto"/>
                <w:right w:val="none" w:sz="0" w:space="0" w:color="auto"/>
              </w:pBdr>
              <w:spacing w:after="62" w:line="239" w:lineRule="auto"/>
              <w:ind w:left="58" w:firstLine="0"/>
            </w:pPr>
            <w:r>
              <w:rPr>
                <w:sz w:val="22"/>
              </w:rPr>
              <w:t xml:space="preserve">The wearing of uniform on its own, is unlikely to improve learning, however it can be successfully incorporated into a broader school improvement process which includes the development of a school ethos and the improvement of behaviour and discipline.  </w:t>
            </w:r>
          </w:p>
          <w:p w14:paraId="68A6834E" w14:textId="77777777" w:rsidR="007005FB" w:rsidRDefault="00723699">
            <w:pPr>
              <w:pBdr>
                <w:top w:val="none" w:sz="0" w:space="0" w:color="auto"/>
                <w:left w:val="none" w:sz="0" w:space="0" w:color="auto"/>
                <w:bottom w:val="none" w:sz="0" w:space="0" w:color="auto"/>
                <w:right w:val="none" w:sz="0" w:space="0" w:color="auto"/>
              </w:pBdr>
              <w:spacing w:after="62" w:line="238" w:lineRule="auto"/>
              <w:ind w:left="58" w:right="27" w:firstLine="0"/>
            </w:pPr>
            <w:r>
              <w:rPr>
                <w:sz w:val="22"/>
              </w:rPr>
              <w:t>If</w:t>
            </w:r>
            <w:r>
              <w:rPr>
                <w:sz w:val="22"/>
              </w:rPr>
              <w:t xml:space="preserve"> a uniform policy is in place, it is important to consider how to support families that may not be able to afford uniform.  </w:t>
            </w:r>
          </w:p>
          <w:p w14:paraId="5708442A" w14:textId="77777777" w:rsidR="007005FB" w:rsidRDefault="00723699">
            <w:pPr>
              <w:pBdr>
                <w:top w:val="none" w:sz="0" w:space="0" w:color="auto"/>
                <w:left w:val="none" w:sz="0" w:space="0" w:color="auto"/>
                <w:bottom w:val="none" w:sz="0" w:space="0" w:color="auto"/>
                <w:right w:val="none" w:sz="0" w:space="0" w:color="auto"/>
              </w:pBdr>
              <w:spacing w:after="57" w:line="259" w:lineRule="auto"/>
              <w:ind w:left="58" w:firstLine="0"/>
            </w:pPr>
            <w:r>
              <w:rPr>
                <w:sz w:val="22"/>
              </w:rPr>
              <w:t xml:space="preserve"> </w:t>
            </w:r>
          </w:p>
          <w:p w14:paraId="732BF09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hyperlink r:id="rId36">
              <w:r>
                <w:rPr>
                  <w:color w:val="0070C0"/>
                  <w:u w:val="single" w:color="0070C0"/>
                </w:rPr>
                <w:t>Uniform | Toolkit Strand | Education Endowment</w:t>
              </w:r>
            </w:hyperlink>
            <w:hyperlink r:id="rId37">
              <w:r>
                <w:rPr>
                  <w:color w:val="0070C0"/>
                </w:rPr>
                <w:t xml:space="preserve"> </w:t>
              </w:r>
            </w:hyperlink>
            <w:hyperlink r:id="rId38">
              <w:r>
                <w:rPr>
                  <w:color w:val="0070C0"/>
                  <w:u w:val="single" w:color="0070C0"/>
                </w:rPr>
                <w:t>Foundation | EEF</w:t>
              </w:r>
            </w:hyperlink>
            <w:hyperlink r:id="rId39">
              <w:r>
                <w:rPr>
                  <w:sz w:val="22"/>
                </w:rPr>
                <w:t xml:space="preserve"> </w:t>
              </w:r>
            </w:hyperlink>
          </w:p>
        </w:tc>
        <w:tc>
          <w:tcPr>
            <w:tcW w:w="1550" w:type="dxa"/>
            <w:tcBorders>
              <w:top w:val="single" w:sz="4" w:space="0" w:color="000000"/>
              <w:left w:val="single" w:sz="4" w:space="0" w:color="000000"/>
              <w:bottom w:val="single" w:sz="4" w:space="0" w:color="000000"/>
              <w:right w:val="single" w:sz="4" w:space="0" w:color="000000"/>
            </w:tcBorders>
          </w:tcPr>
          <w:p w14:paraId="77BAFD2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4 </w:t>
            </w:r>
          </w:p>
        </w:tc>
      </w:tr>
      <w:tr w:rsidR="007005FB" w14:paraId="5E56407A" w14:textId="77777777">
        <w:trPr>
          <w:trHeight w:val="6080"/>
        </w:trPr>
        <w:tc>
          <w:tcPr>
            <w:tcW w:w="2410" w:type="dxa"/>
            <w:tcBorders>
              <w:top w:val="single" w:sz="4" w:space="0" w:color="000000"/>
              <w:left w:val="single" w:sz="4" w:space="0" w:color="000000"/>
              <w:bottom w:val="single" w:sz="4" w:space="0" w:color="000000"/>
              <w:right w:val="single" w:sz="4" w:space="0" w:color="000000"/>
            </w:tcBorders>
          </w:tcPr>
          <w:p w14:paraId="7ED960D4" w14:textId="77777777" w:rsidR="007005FB" w:rsidRDefault="00723699">
            <w:pPr>
              <w:pBdr>
                <w:top w:val="none" w:sz="0" w:space="0" w:color="auto"/>
                <w:left w:val="none" w:sz="0" w:space="0" w:color="auto"/>
                <w:bottom w:val="none" w:sz="0" w:space="0" w:color="auto"/>
                <w:right w:val="none" w:sz="0" w:space="0" w:color="auto"/>
              </w:pBdr>
              <w:spacing w:after="1" w:line="239" w:lineRule="auto"/>
              <w:ind w:left="58" w:right="17" w:firstLine="0"/>
            </w:pPr>
            <w:r>
              <w:rPr>
                <w:sz w:val="22"/>
              </w:rPr>
              <w:t xml:space="preserve">Provision for bespoke parenting support and parenting courses to engage parents in supporting their children’s learning. (Family Support </w:t>
            </w:r>
          </w:p>
          <w:p w14:paraId="7464A4D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Worker and trained </w:t>
            </w:r>
          </w:p>
          <w:p w14:paraId="5414C7D0"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123 Magic </w:t>
            </w:r>
          </w:p>
          <w:p w14:paraId="3C424C35"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Practitioner) </w:t>
            </w:r>
          </w:p>
        </w:tc>
        <w:tc>
          <w:tcPr>
            <w:tcW w:w="6098" w:type="dxa"/>
            <w:tcBorders>
              <w:top w:val="single" w:sz="4" w:space="0" w:color="000000"/>
              <w:left w:val="single" w:sz="4" w:space="0" w:color="000000"/>
              <w:bottom w:val="single" w:sz="4" w:space="0" w:color="000000"/>
              <w:right w:val="single" w:sz="4" w:space="0" w:color="000000"/>
            </w:tcBorders>
          </w:tcPr>
          <w:p w14:paraId="56725855" w14:textId="77777777" w:rsidR="007005FB" w:rsidRDefault="00723699">
            <w:pPr>
              <w:pBdr>
                <w:top w:val="none" w:sz="0" w:space="0" w:color="auto"/>
                <w:left w:val="none" w:sz="0" w:space="0" w:color="auto"/>
                <w:bottom w:val="none" w:sz="0" w:space="0" w:color="auto"/>
                <w:right w:val="none" w:sz="0" w:space="0" w:color="auto"/>
              </w:pBdr>
              <w:spacing w:after="61" w:line="239" w:lineRule="auto"/>
              <w:ind w:left="58" w:firstLine="0"/>
            </w:pPr>
            <w:r>
              <w:rPr>
                <w:sz w:val="22"/>
              </w:rPr>
              <w:t xml:space="preserve">Parental engagement refers to teachers and schools involving parents in </w:t>
            </w:r>
            <w:r>
              <w:rPr>
                <w:sz w:val="22"/>
              </w:rPr>
              <w:t xml:space="preserve">supporting their children’s academic learning. This includes: </w:t>
            </w:r>
          </w:p>
          <w:p w14:paraId="7BB38EDD" w14:textId="77777777" w:rsidR="007005FB" w:rsidRDefault="00723699">
            <w:pPr>
              <w:numPr>
                <w:ilvl w:val="0"/>
                <w:numId w:val="6"/>
              </w:numPr>
              <w:pBdr>
                <w:top w:val="none" w:sz="0" w:space="0" w:color="auto"/>
                <w:left w:val="none" w:sz="0" w:space="0" w:color="auto"/>
                <w:bottom w:val="none" w:sz="0" w:space="0" w:color="auto"/>
                <w:right w:val="none" w:sz="0" w:space="0" w:color="auto"/>
              </w:pBdr>
              <w:spacing w:after="0" w:line="259" w:lineRule="auto"/>
              <w:ind w:hanging="360"/>
            </w:pPr>
            <w:r>
              <w:rPr>
                <w:sz w:val="22"/>
              </w:rPr>
              <w:t xml:space="preserve">Approaches and programmes which aim to develop </w:t>
            </w:r>
          </w:p>
          <w:p w14:paraId="327CBA42" w14:textId="77777777" w:rsidR="007005FB" w:rsidRDefault="00723699">
            <w:pPr>
              <w:pBdr>
                <w:top w:val="none" w:sz="0" w:space="0" w:color="auto"/>
                <w:left w:val="none" w:sz="0" w:space="0" w:color="auto"/>
                <w:bottom w:val="none" w:sz="0" w:space="0" w:color="auto"/>
                <w:right w:val="none" w:sz="0" w:space="0" w:color="auto"/>
              </w:pBdr>
              <w:spacing w:after="38" w:line="259" w:lineRule="auto"/>
              <w:ind w:left="418" w:firstLine="0"/>
            </w:pPr>
            <w:r>
              <w:rPr>
                <w:sz w:val="22"/>
              </w:rPr>
              <w:t xml:space="preserve">parental skills; </w:t>
            </w:r>
          </w:p>
          <w:p w14:paraId="7602471F" w14:textId="77777777" w:rsidR="007005FB" w:rsidRDefault="00723699">
            <w:pPr>
              <w:numPr>
                <w:ilvl w:val="0"/>
                <w:numId w:val="6"/>
              </w:numPr>
              <w:pBdr>
                <w:top w:val="none" w:sz="0" w:space="0" w:color="auto"/>
                <w:left w:val="none" w:sz="0" w:space="0" w:color="auto"/>
                <w:bottom w:val="none" w:sz="0" w:space="0" w:color="auto"/>
                <w:right w:val="none" w:sz="0" w:space="0" w:color="auto"/>
              </w:pBdr>
              <w:spacing w:after="58" w:line="243" w:lineRule="auto"/>
              <w:ind w:hanging="360"/>
            </w:pPr>
            <w:r>
              <w:rPr>
                <w:sz w:val="22"/>
              </w:rPr>
              <w:t xml:space="preserve">General approaches which encourage parents to support their children with, for example reading or homework; </w:t>
            </w:r>
          </w:p>
          <w:p w14:paraId="506F6599" w14:textId="77777777" w:rsidR="007005FB" w:rsidRDefault="00723699">
            <w:pPr>
              <w:numPr>
                <w:ilvl w:val="0"/>
                <w:numId w:val="6"/>
              </w:numPr>
              <w:pBdr>
                <w:top w:val="none" w:sz="0" w:space="0" w:color="auto"/>
                <w:left w:val="none" w:sz="0" w:space="0" w:color="auto"/>
                <w:bottom w:val="none" w:sz="0" w:space="0" w:color="auto"/>
                <w:right w:val="none" w:sz="0" w:space="0" w:color="auto"/>
              </w:pBdr>
              <w:spacing w:after="64" w:line="259" w:lineRule="auto"/>
              <w:ind w:hanging="360"/>
            </w:pPr>
            <w:r>
              <w:rPr>
                <w:sz w:val="22"/>
              </w:rPr>
              <w:t xml:space="preserve">More intensive programmes for families in crisis. </w:t>
            </w:r>
          </w:p>
          <w:p w14:paraId="5C9989CE"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58" w:firstLine="0"/>
            </w:pPr>
            <w:hyperlink r:id="rId40">
              <w:r>
                <w:rPr>
                  <w:color w:val="0070C0"/>
                  <w:u w:val="single" w:color="0070C0"/>
                </w:rPr>
                <w:t>Parental engagement | Toolkit Strand | Education</w:t>
              </w:r>
            </w:hyperlink>
            <w:hyperlink r:id="rId41">
              <w:r>
                <w:rPr>
                  <w:color w:val="0070C0"/>
                </w:rPr>
                <w:t xml:space="preserve"> </w:t>
              </w:r>
            </w:hyperlink>
            <w:hyperlink r:id="rId42">
              <w:r>
                <w:rPr>
                  <w:color w:val="0070C0"/>
                  <w:u w:val="single" w:color="0070C0"/>
                </w:rPr>
                <w:t>Endowment Foundation | EEF</w:t>
              </w:r>
            </w:hyperlink>
            <w:hyperlink r:id="rId43">
              <w:r>
                <w:t xml:space="preserve"> </w:t>
              </w:r>
            </w:hyperlink>
          </w:p>
          <w:p w14:paraId="09487AE8" w14:textId="77777777" w:rsidR="007005FB" w:rsidRDefault="00723699">
            <w:pPr>
              <w:pBdr>
                <w:top w:val="none" w:sz="0" w:space="0" w:color="auto"/>
                <w:left w:val="none" w:sz="0" w:space="0" w:color="auto"/>
                <w:bottom w:val="none" w:sz="0" w:space="0" w:color="auto"/>
                <w:right w:val="none" w:sz="0" w:space="0" w:color="auto"/>
              </w:pBdr>
              <w:spacing w:after="60" w:line="240" w:lineRule="auto"/>
              <w:ind w:left="58" w:firstLine="0"/>
            </w:pPr>
            <w:r>
              <w:t>The school’s family support worker provides a valuable link between school and families who are in crisis. One to one parenting support is provided in a range of ways, for example attendance, financial, housing and parenting.</w:t>
            </w:r>
            <w:r>
              <w:t xml:space="preserve">  </w:t>
            </w:r>
          </w:p>
          <w:p w14:paraId="3C9FCC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right="32" w:firstLine="0"/>
            </w:pPr>
            <w:r>
              <w:t xml:space="preserve">The school’s 123 Magic (parenting course) practitioner provides courses which are easily accessible for families in crisis and for parents/ guardians who are on pathways for a diagnosis for ADHD or ASD. </w:t>
            </w: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596DA4C0"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4,5 </w:t>
            </w:r>
          </w:p>
        </w:tc>
      </w:tr>
      <w:tr w:rsidR="007005FB" w14:paraId="2DE6E172" w14:textId="77777777">
        <w:trPr>
          <w:trHeight w:val="1394"/>
        </w:trPr>
        <w:tc>
          <w:tcPr>
            <w:tcW w:w="2410" w:type="dxa"/>
            <w:tcBorders>
              <w:top w:val="single" w:sz="4" w:space="0" w:color="000000"/>
              <w:left w:val="single" w:sz="4" w:space="0" w:color="000000"/>
              <w:bottom w:val="single" w:sz="4" w:space="0" w:color="000000"/>
              <w:right w:val="single" w:sz="4" w:space="0" w:color="000000"/>
            </w:tcBorders>
          </w:tcPr>
          <w:p w14:paraId="2DF46349"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School will continue to subsidise enrichment and extra-curricular activities.  </w:t>
            </w:r>
          </w:p>
        </w:tc>
        <w:tc>
          <w:tcPr>
            <w:tcW w:w="6098" w:type="dxa"/>
            <w:tcBorders>
              <w:top w:val="single" w:sz="4" w:space="0" w:color="000000"/>
              <w:left w:val="single" w:sz="4" w:space="0" w:color="000000"/>
              <w:bottom w:val="single" w:sz="4" w:space="0" w:color="000000"/>
              <w:right w:val="single" w:sz="4" w:space="0" w:color="000000"/>
            </w:tcBorders>
          </w:tcPr>
          <w:p w14:paraId="1391AEA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Offering a wide range of high-quality extra-</w:t>
            </w:r>
            <w:proofErr w:type="gramStart"/>
            <w:r>
              <w:t>curricular  activities</w:t>
            </w:r>
            <w:proofErr w:type="gramEnd"/>
            <w:r>
              <w:t xml:space="preserve"> will boost wellbeing, behaviour, attendance, and aspiration. Activities will focus on building life skills su</w:t>
            </w:r>
            <w:r>
              <w:t xml:space="preserve">ch as confidence, resilience, and socialising. </w:t>
            </w:r>
          </w:p>
        </w:tc>
        <w:tc>
          <w:tcPr>
            <w:tcW w:w="1550" w:type="dxa"/>
            <w:tcBorders>
              <w:top w:val="single" w:sz="4" w:space="0" w:color="000000"/>
              <w:left w:val="single" w:sz="4" w:space="0" w:color="000000"/>
              <w:bottom w:val="single" w:sz="4" w:space="0" w:color="000000"/>
              <w:right w:val="single" w:sz="4" w:space="0" w:color="000000"/>
            </w:tcBorders>
          </w:tcPr>
          <w:p w14:paraId="56E5186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4,5 </w:t>
            </w:r>
          </w:p>
        </w:tc>
      </w:tr>
      <w:tr w:rsidR="007005FB" w14:paraId="0C418F2E" w14:textId="77777777">
        <w:trPr>
          <w:trHeight w:val="936"/>
        </w:trPr>
        <w:tc>
          <w:tcPr>
            <w:tcW w:w="2410" w:type="dxa"/>
            <w:tcBorders>
              <w:top w:val="single" w:sz="4" w:space="0" w:color="000000"/>
              <w:left w:val="single" w:sz="4" w:space="0" w:color="000000"/>
              <w:bottom w:val="single" w:sz="4" w:space="0" w:color="000000"/>
              <w:right w:val="single" w:sz="4" w:space="0" w:color="000000"/>
            </w:tcBorders>
          </w:tcPr>
          <w:p w14:paraId="0D638FB5" w14:textId="77777777" w:rsidR="007005FB" w:rsidRDefault="007005FB">
            <w:pPr>
              <w:spacing w:after="160" w:line="259" w:lineRule="auto"/>
              <w:ind w:left="0" w:firstLine="0"/>
            </w:pPr>
          </w:p>
        </w:tc>
        <w:tc>
          <w:tcPr>
            <w:tcW w:w="6098" w:type="dxa"/>
            <w:tcBorders>
              <w:top w:val="single" w:sz="4" w:space="0" w:color="000000"/>
              <w:left w:val="single" w:sz="4" w:space="0" w:color="000000"/>
              <w:bottom w:val="single" w:sz="4" w:space="0" w:color="000000"/>
              <w:right w:val="single" w:sz="4" w:space="0" w:color="000000"/>
            </w:tcBorders>
          </w:tcPr>
          <w:p w14:paraId="3F8CDC8F" w14:textId="77777777" w:rsidR="007005FB" w:rsidRDefault="00723699">
            <w:pPr>
              <w:pBdr>
                <w:top w:val="none" w:sz="0" w:space="0" w:color="auto"/>
                <w:left w:val="none" w:sz="0" w:space="0" w:color="auto"/>
                <w:bottom w:val="none" w:sz="0" w:space="0" w:color="auto"/>
                <w:right w:val="none" w:sz="0" w:space="0" w:color="auto"/>
              </w:pBdr>
              <w:spacing w:after="41" w:line="240" w:lineRule="auto"/>
              <w:ind w:left="0" w:firstLine="0"/>
              <w:jc w:val="both"/>
            </w:pPr>
            <w:r>
              <w:t xml:space="preserve">Disadvantaged pupils will be encouraged to participate and supported financially. </w:t>
            </w:r>
          </w:p>
          <w:p w14:paraId="19F6309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58"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14B2039E" w14:textId="77777777" w:rsidR="007005FB" w:rsidRDefault="007005FB">
            <w:pPr>
              <w:spacing w:after="160" w:line="259" w:lineRule="auto"/>
              <w:ind w:left="0" w:firstLine="0"/>
            </w:pPr>
          </w:p>
        </w:tc>
      </w:tr>
    </w:tbl>
    <w:p w14:paraId="4A1E95D4" w14:textId="77777777" w:rsidR="007005FB" w:rsidRDefault="00723699">
      <w:pPr>
        <w:pBdr>
          <w:top w:val="none" w:sz="0" w:space="0" w:color="auto"/>
          <w:left w:val="none" w:sz="0" w:space="0" w:color="auto"/>
          <w:bottom w:val="none" w:sz="0" w:space="0" w:color="auto"/>
          <w:right w:val="none" w:sz="0" w:space="0" w:color="auto"/>
        </w:pBdr>
        <w:spacing w:after="38" w:line="259" w:lineRule="auto"/>
        <w:ind w:left="0" w:firstLine="0"/>
      </w:pPr>
      <w:r>
        <w:rPr>
          <w:b/>
          <w:color w:val="104F75"/>
          <w:sz w:val="28"/>
        </w:rPr>
        <w:t xml:space="preserve"> </w:t>
      </w:r>
    </w:p>
    <w:p w14:paraId="1266AFC0" w14:textId="77777777" w:rsidR="007005FB" w:rsidRDefault="00723699">
      <w:pPr>
        <w:pBdr>
          <w:top w:val="none" w:sz="0" w:space="0" w:color="auto"/>
          <w:left w:val="none" w:sz="0" w:space="0" w:color="auto"/>
          <w:bottom w:val="none" w:sz="0" w:space="0" w:color="auto"/>
          <w:right w:val="none" w:sz="0" w:space="0" w:color="auto"/>
        </w:pBdr>
        <w:spacing w:after="237" w:line="259" w:lineRule="auto"/>
        <w:ind w:left="-5"/>
      </w:pPr>
      <w:r>
        <w:rPr>
          <w:b/>
          <w:color w:val="104F75"/>
          <w:sz w:val="28"/>
        </w:rPr>
        <w:t>Total budgeted cost: £78,000</w:t>
      </w:r>
      <w:r>
        <w:t xml:space="preserve"> </w:t>
      </w:r>
      <w:r>
        <w:br w:type="page"/>
      </w:r>
    </w:p>
    <w:p w14:paraId="0871020A" w14:textId="77777777" w:rsidR="007005FB" w:rsidRDefault="00723699">
      <w:pPr>
        <w:pStyle w:val="Heading1"/>
        <w:ind w:left="-5"/>
      </w:pPr>
      <w:r>
        <w:lastRenderedPageBreak/>
        <w:t xml:space="preserve">Part B: Review of outcomes in the previous academic year </w:t>
      </w:r>
    </w:p>
    <w:p w14:paraId="7267F054" w14:textId="77777777" w:rsidR="007005FB" w:rsidRDefault="00723699">
      <w:pPr>
        <w:pStyle w:val="Heading2"/>
        <w:ind w:left="-5"/>
      </w:pPr>
      <w:r>
        <w:t xml:space="preserve">Pupil premium strategy outcomes </w:t>
      </w:r>
    </w:p>
    <w:p w14:paraId="187BB749" w14:textId="00934D8C" w:rsidR="007005FB" w:rsidRDefault="00723699">
      <w:pPr>
        <w:pBdr>
          <w:top w:val="none" w:sz="0" w:space="0" w:color="auto"/>
          <w:left w:val="none" w:sz="0" w:space="0" w:color="auto"/>
          <w:bottom w:val="none" w:sz="0" w:space="0" w:color="auto"/>
          <w:right w:val="none" w:sz="0" w:space="0" w:color="auto"/>
        </w:pBdr>
        <w:spacing w:after="278" w:line="259" w:lineRule="auto"/>
        <w:ind w:left="-5"/>
      </w:pPr>
      <w:r>
        <w:t>This details the impact that our pupil premium activity had on pupils in the 202</w:t>
      </w:r>
      <w:r w:rsidR="00AB0392">
        <w:t>2</w:t>
      </w:r>
      <w:r>
        <w:t xml:space="preserve"> to 202</w:t>
      </w:r>
      <w:r w:rsidR="00AB0392">
        <w:t>3</w:t>
      </w:r>
      <w:r>
        <w:t xml:space="preserve"> academic year.  </w:t>
      </w:r>
    </w:p>
    <w:p w14:paraId="5D332D3B" w14:textId="346E7DA7" w:rsidR="007005FB" w:rsidRDefault="003678D9">
      <w:pPr>
        <w:spacing w:after="237"/>
        <w:ind w:left="168"/>
      </w:pPr>
      <w:r>
        <w:t>Outcomes at the end of 2023 show that, while there remains a significant gap for learners at the end of EY and key stage 1, at the end of key stage 2 the gap has closed</w:t>
      </w:r>
      <w:r w:rsidR="00171077">
        <w:t xml:space="preserve"> in maths and is negligible:</w:t>
      </w:r>
      <w:r>
        <w:t xml:space="preserve"> 100%</w:t>
      </w:r>
      <w:r w:rsidR="00F919D3">
        <w:t xml:space="preserve"> of </w:t>
      </w:r>
      <w:r>
        <w:t>pupils attained the expected standard in maths</w:t>
      </w:r>
      <w:r w:rsidR="00171077">
        <w:t>; i</w:t>
      </w:r>
      <w:r>
        <w:t>n writing 78% of disadvantaged pupils achieved the expected standard</w:t>
      </w:r>
      <w:r w:rsidR="00F919D3">
        <w:t>, compared to 84% non-disadvantaged pupils</w:t>
      </w:r>
      <w:r w:rsidR="00171077">
        <w:t xml:space="preserve">; </w:t>
      </w:r>
      <w:r>
        <w:t>89% of disadvantaged pupils met the standard</w:t>
      </w:r>
      <w:r w:rsidR="00171077">
        <w:t xml:space="preserve"> in reading</w:t>
      </w:r>
      <w:r w:rsidR="00F919D3">
        <w:t>, compared to 92% other pupils</w:t>
      </w:r>
      <w:r>
        <w:t xml:space="preserve">. </w:t>
      </w:r>
    </w:p>
    <w:p w14:paraId="0DD75114" w14:textId="0A475180" w:rsidR="00B91F2D" w:rsidRDefault="00B91F2D">
      <w:pPr>
        <w:spacing w:after="237"/>
        <w:ind w:left="168"/>
      </w:pPr>
      <w:r>
        <w:t xml:space="preserve">The gap for pupil premium children in EY is significant. 16.7% pupils achieved the standard in areas linked to Communication and Language compared to 69.2% other pupils. 33% pupil premium pupils met the standard for aspects linked to personal development compared to 69.2% of non-pupil premium children. </w:t>
      </w:r>
      <w:r w:rsidR="002D279E">
        <w:t xml:space="preserve">School will review teaching and learning in the EY, and broker targeted support, to ensure improved outcomes in these areas in the next academic year. </w:t>
      </w:r>
    </w:p>
    <w:p w14:paraId="0F5B15BD" w14:textId="5713FA19" w:rsidR="007005FB" w:rsidRDefault="00723699">
      <w:pPr>
        <w:spacing w:after="237"/>
        <w:ind w:left="168"/>
      </w:pPr>
      <w:r>
        <w:t>In house attainment data shows the d</w:t>
      </w:r>
      <w:r>
        <w:t>isadvantaged gap remains in most year groups across the school. However</w:t>
      </w:r>
      <w:r w:rsidR="00B91F2D">
        <w:t>,</w:t>
      </w:r>
      <w:r w:rsidR="00171077">
        <w:t xml:space="preserve"> </w:t>
      </w:r>
      <w:r>
        <w:t>a</w:t>
      </w:r>
      <w:r w:rsidR="00171077">
        <w:t xml:space="preserve"> good</w:t>
      </w:r>
      <w:r>
        <w:t xml:space="preserve"> p</w:t>
      </w:r>
      <w:r w:rsidR="00171077">
        <w:t>roportion</w:t>
      </w:r>
      <w:r>
        <w:t xml:space="preserve"> of disadvantaged pupils within each class have made accelerated progress to catch up with their peers. This demonstrates the </w:t>
      </w:r>
      <w:r w:rsidR="00171077">
        <w:t>effectiveness</w:t>
      </w:r>
      <w:r>
        <w:t xml:space="preserve"> of the curric</w:t>
      </w:r>
      <w:r>
        <w:t xml:space="preserve">ulum, the quality of teaching and </w:t>
      </w:r>
      <w:r w:rsidR="00171077">
        <w:t>the impact of interventions</w:t>
      </w:r>
      <w:r>
        <w:t xml:space="preserve">. </w:t>
      </w:r>
    </w:p>
    <w:p w14:paraId="60D04E6E" w14:textId="297DB84C" w:rsidR="00171077" w:rsidRDefault="00B91F2D">
      <w:pPr>
        <w:spacing w:after="237"/>
        <w:ind w:left="168"/>
      </w:pPr>
      <w:r>
        <w:t xml:space="preserve">Engagement with extra-curricular clubs is good - </w:t>
      </w:r>
      <w:r w:rsidR="00171077">
        <w:t>61% of disadvantaged children, compared to 72% of other pupils, take part in enrichment activities linked to sport</w:t>
      </w:r>
      <w:r>
        <w:t xml:space="preserve">. School must now extend its offer beyond sports activities. </w:t>
      </w:r>
    </w:p>
    <w:tbl>
      <w:tblPr>
        <w:tblStyle w:val="TableGrid"/>
        <w:tblpPr w:vertAnchor="page" w:horzAnchor="page" w:tblpX="1140" w:tblpY="14336"/>
        <w:tblOverlap w:val="never"/>
        <w:tblW w:w="9486" w:type="dxa"/>
        <w:tblInd w:w="0" w:type="dxa"/>
        <w:tblCellMar>
          <w:top w:w="72" w:type="dxa"/>
          <w:left w:w="166" w:type="dxa"/>
          <w:bottom w:w="0" w:type="dxa"/>
          <w:right w:w="115" w:type="dxa"/>
        </w:tblCellMar>
        <w:tblLook w:val="04A0" w:firstRow="1" w:lastRow="0" w:firstColumn="1" w:lastColumn="0" w:noHBand="0" w:noVBand="1"/>
      </w:tblPr>
      <w:tblGrid>
        <w:gridCol w:w="4816"/>
        <w:gridCol w:w="4670"/>
      </w:tblGrid>
      <w:tr w:rsidR="007005FB" w14:paraId="7B490DFD" w14:textId="77777777" w:rsidTr="00886172">
        <w:trPr>
          <w:trHeight w:val="403"/>
        </w:trPr>
        <w:tc>
          <w:tcPr>
            <w:tcW w:w="4816" w:type="dxa"/>
            <w:tcBorders>
              <w:top w:val="single" w:sz="4" w:space="0" w:color="000000"/>
              <w:left w:val="single" w:sz="4" w:space="0" w:color="000000"/>
              <w:bottom w:val="single" w:sz="4" w:space="0" w:color="000000"/>
              <w:right w:val="single" w:sz="4" w:space="0" w:color="000000"/>
            </w:tcBorders>
            <w:shd w:val="clear" w:color="auto" w:fill="D8E2E9"/>
          </w:tcPr>
          <w:p w14:paraId="345DBD51"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0B34951C"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Provider </w:t>
            </w:r>
          </w:p>
        </w:tc>
      </w:tr>
      <w:tr w:rsidR="007005FB" w14:paraId="51D4C0B6" w14:textId="77777777" w:rsidTr="00886172">
        <w:trPr>
          <w:trHeight w:val="407"/>
        </w:trPr>
        <w:tc>
          <w:tcPr>
            <w:tcW w:w="4816" w:type="dxa"/>
            <w:tcBorders>
              <w:top w:val="single" w:sz="4" w:space="0" w:color="000000"/>
              <w:left w:val="single" w:sz="4" w:space="0" w:color="000000"/>
              <w:bottom w:val="single" w:sz="4" w:space="0" w:color="000000"/>
              <w:right w:val="single" w:sz="4" w:space="0" w:color="000000"/>
            </w:tcBorders>
          </w:tcPr>
          <w:p w14:paraId="3CAA934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76E1DC7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005FB" w14:paraId="4217F160" w14:textId="77777777" w:rsidTr="00886172">
        <w:trPr>
          <w:trHeight w:val="408"/>
        </w:trPr>
        <w:tc>
          <w:tcPr>
            <w:tcW w:w="4816" w:type="dxa"/>
            <w:tcBorders>
              <w:top w:val="single" w:sz="4" w:space="0" w:color="000000"/>
              <w:left w:val="single" w:sz="4" w:space="0" w:color="000000"/>
              <w:bottom w:val="single" w:sz="4" w:space="0" w:color="000000"/>
              <w:right w:val="single" w:sz="4" w:space="0" w:color="000000"/>
            </w:tcBorders>
          </w:tcPr>
          <w:p w14:paraId="69F1F888" w14:textId="16ADB191" w:rsidR="007005FB" w:rsidRDefault="007005FB">
            <w:pPr>
              <w:pBdr>
                <w:top w:val="none" w:sz="0" w:space="0" w:color="auto"/>
                <w:left w:val="none" w:sz="0" w:space="0" w:color="auto"/>
                <w:bottom w:val="none" w:sz="0" w:space="0" w:color="auto"/>
                <w:right w:val="none" w:sz="0" w:space="0" w:color="auto"/>
              </w:pBdr>
              <w:spacing w:after="0" w:line="259" w:lineRule="auto"/>
              <w:ind w:left="0" w:firstLine="0"/>
            </w:pPr>
          </w:p>
        </w:tc>
        <w:tc>
          <w:tcPr>
            <w:tcW w:w="4670" w:type="dxa"/>
            <w:tcBorders>
              <w:top w:val="single" w:sz="4" w:space="0" w:color="000000"/>
              <w:left w:val="single" w:sz="4" w:space="0" w:color="000000"/>
              <w:bottom w:val="single" w:sz="4" w:space="0" w:color="000000"/>
              <w:right w:val="single" w:sz="4" w:space="0" w:color="000000"/>
            </w:tcBorders>
          </w:tcPr>
          <w:p w14:paraId="02D86143" w14:textId="0C74C1DA" w:rsidR="007005FB" w:rsidRDefault="007005FB">
            <w:pPr>
              <w:pBdr>
                <w:top w:val="none" w:sz="0" w:space="0" w:color="auto"/>
                <w:left w:val="none" w:sz="0" w:space="0" w:color="auto"/>
                <w:bottom w:val="none" w:sz="0" w:space="0" w:color="auto"/>
                <w:right w:val="none" w:sz="0" w:space="0" w:color="auto"/>
              </w:pBdr>
              <w:spacing w:after="0" w:line="259" w:lineRule="auto"/>
              <w:ind w:left="0" w:firstLine="0"/>
            </w:pPr>
          </w:p>
        </w:tc>
      </w:tr>
    </w:tbl>
    <w:p w14:paraId="2B93C5E6" w14:textId="67A281C1" w:rsidR="007005FB" w:rsidRDefault="00723699">
      <w:pPr>
        <w:spacing w:after="237"/>
        <w:ind w:left="168"/>
      </w:pPr>
      <w:r>
        <w:t xml:space="preserve">Overall attendance </w:t>
      </w:r>
      <w:r w:rsidR="002D279E">
        <w:t xml:space="preserve">improved slightly from the previous academic year (93%) to 94% at the end of 2023 which is in line with the national picture. </w:t>
      </w:r>
      <w:r w:rsidR="00C72B23">
        <w:t>The a</w:t>
      </w:r>
      <w:r>
        <w:t>bsence rate</w:t>
      </w:r>
      <w:r>
        <w:t xml:space="preserve"> for disadvantaged pupils</w:t>
      </w:r>
      <w:r w:rsidR="00C72B23">
        <w:t xml:space="preserve"> was 9.0, compared to the national average of 11.4</w:t>
      </w:r>
      <w:r>
        <w:t>. Persistent absence was 1</w:t>
      </w:r>
      <w:r w:rsidR="00C72B23">
        <w:t>8</w:t>
      </w:r>
      <w:r>
        <w:t xml:space="preserve">% at the </w:t>
      </w:r>
      <w:r>
        <w:t>end of 202</w:t>
      </w:r>
      <w:r w:rsidR="00C72B23">
        <w:t>3</w:t>
      </w:r>
      <w:r>
        <w:t xml:space="preserve"> </w:t>
      </w:r>
      <w:r w:rsidR="00C72B23">
        <w:t>which is slightly above the national percentage for primary schools – 17.2%</w:t>
      </w:r>
      <w:r>
        <w:t xml:space="preserve">. </w:t>
      </w:r>
      <w:r w:rsidR="00C72B23">
        <w:t>34</w:t>
      </w:r>
      <w:r>
        <w:t>% of persistent absentees are disadvantaged pupils</w:t>
      </w:r>
      <w:r w:rsidR="00C72B23">
        <w:t>, compared to 7% of non-disadvantaged</w:t>
      </w:r>
      <w:r w:rsidR="00886172">
        <w:t xml:space="preserve"> -</w:t>
      </w:r>
      <w:r w:rsidR="00C72B23">
        <w:t xml:space="preserve"> Persistent Absence remains a focus area for both the school and Weaver Trust.</w:t>
      </w:r>
      <w:r>
        <w:t xml:space="preserve"> </w:t>
      </w:r>
      <w:r w:rsidR="00886172">
        <w:t xml:space="preserve">The family support worker supports our vulnerable families and supports the headteacher to monitor attendance, particularly persistent absence. A trust wide review of attendance took place at the end of the academic year 2022-2023, the findings of which will feed into our policy and procedures for managing absence. </w:t>
      </w:r>
    </w:p>
    <w:p w14:paraId="68FF87D1" w14:textId="65B2DE10" w:rsidR="00886172" w:rsidRDefault="00723699" w:rsidP="00950E41">
      <w:pPr>
        <w:spacing w:after="921"/>
        <w:ind w:left="168"/>
      </w:pPr>
      <w:r>
        <w:t>Our assessments and observations</w:t>
      </w:r>
      <w:r w:rsidR="00886172">
        <w:t xml:space="preserve"> show </w:t>
      </w:r>
      <w:r>
        <w:t>that pupil behaviour,</w:t>
      </w:r>
      <w:r>
        <w:t xml:space="preserve"> well-being and mental health have been significantly impacted during the last t</w:t>
      </w:r>
      <w:r w:rsidR="00886172">
        <w:t>hree</w:t>
      </w:r>
      <w:r>
        <w:t xml:space="preserve"> years, primarily due to </w:t>
      </w:r>
      <w:r w:rsidR="00886172">
        <w:t xml:space="preserve">so many missed experiences for pupils in their formative years due to </w:t>
      </w:r>
      <w:r>
        <w:t>COVID</w:t>
      </w:r>
      <w:r w:rsidR="00886172">
        <w:t xml:space="preserve">. </w:t>
      </w:r>
      <w:r>
        <w:t xml:space="preserve"> The impact has been particularly acute for disadvantaged pupils. We </w:t>
      </w:r>
      <w:r w:rsidR="00886172">
        <w:t>continue to use</w:t>
      </w:r>
      <w:r>
        <w:t xml:space="preserve"> pupil premium funding to provide wellbeing support </w:t>
      </w:r>
      <w:r>
        <w:t>for all pupils, and targeted interventions where required, such as family support worker support, Play Therapy and ELSA.</w:t>
      </w:r>
      <w:r w:rsidR="00886172">
        <w:t xml:space="preserve"> Pupil voice shows that children are happy in school and feel supported. </w:t>
      </w:r>
      <w:r w:rsidR="00950E41">
        <w:t xml:space="preserve">Teachers report that the majority of those pupils who have attended ELSA, or more in-depth support such as play therapy, show an improved ability to regulate their emotions and therefore engage in lessons more positively. </w:t>
      </w:r>
    </w:p>
    <w:p w14:paraId="20090527" w14:textId="77777777" w:rsidR="00886172" w:rsidRDefault="00886172">
      <w:pPr>
        <w:spacing w:after="921"/>
        <w:ind w:left="168"/>
      </w:pPr>
    </w:p>
    <w:p w14:paraId="46BE686E" w14:textId="77777777" w:rsidR="007005FB" w:rsidRDefault="00723699">
      <w:pPr>
        <w:pStyle w:val="Heading2"/>
        <w:ind w:left="-5"/>
      </w:pPr>
      <w:r>
        <w:t xml:space="preserve">Externally provided programmes </w:t>
      </w:r>
    </w:p>
    <w:p w14:paraId="11B92645" w14:textId="77777777" w:rsidR="007005FB" w:rsidRDefault="00723699">
      <w:pPr>
        <w:pBdr>
          <w:top w:val="none" w:sz="0" w:space="0" w:color="auto"/>
          <w:left w:val="none" w:sz="0" w:space="0" w:color="auto"/>
          <w:bottom w:val="none" w:sz="0" w:space="0" w:color="auto"/>
          <w:right w:val="none" w:sz="0" w:space="0" w:color="auto"/>
        </w:pBdr>
        <w:spacing w:after="29" w:line="259" w:lineRule="auto"/>
        <w:ind w:left="-5"/>
      </w:pPr>
      <w:r>
        <w:rPr>
          <w:i/>
        </w:rPr>
        <w:t xml:space="preserve">Please include the names of any non-DfE programmes that you purchased in the previous academic year. This will help the Department for Education identify which ones are popular in England </w:t>
      </w:r>
    </w:p>
    <w:p w14:paraId="06FDE489" w14:textId="77777777" w:rsidR="007005FB" w:rsidRDefault="00723699">
      <w:pPr>
        <w:pStyle w:val="Heading2"/>
        <w:ind w:left="-5"/>
      </w:pPr>
      <w:r>
        <w:t xml:space="preserve">Service pupil premium funding (optional) </w:t>
      </w:r>
    </w:p>
    <w:p w14:paraId="5535097A" w14:textId="77777777" w:rsidR="007005FB" w:rsidRDefault="00723699">
      <w:pPr>
        <w:pBdr>
          <w:top w:val="none" w:sz="0" w:space="0" w:color="auto"/>
          <w:left w:val="none" w:sz="0" w:space="0" w:color="auto"/>
          <w:bottom w:val="none" w:sz="0" w:space="0" w:color="auto"/>
          <w:right w:val="none" w:sz="0" w:space="0" w:color="auto"/>
        </w:pBdr>
        <w:spacing w:after="4" w:line="259" w:lineRule="auto"/>
        <w:ind w:left="-5"/>
      </w:pPr>
      <w:r>
        <w:rPr>
          <w:i/>
        </w:rPr>
        <w:t xml:space="preserve">For schools that receive </w:t>
      </w:r>
      <w:r>
        <w:rPr>
          <w:i/>
        </w:rPr>
        <w:t xml:space="preserve">this funding, you may wish to provide the following information:  </w:t>
      </w:r>
    </w:p>
    <w:tbl>
      <w:tblPr>
        <w:tblStyle w:val="TableGrid"/>
        <w:tblW w:w="9486" w:type="dxa"/>
        <w:tblInd w:w="7" w:type="dxa"/>
        <w:tblCellMar>
          <w:top w:w="71" w:type="dxa"/>
          <w:left w:w="166" w:type="dxa"/>
          <w:bottom w:w="0" w:type="dxa"/>
          <w:right w:w="115" w:type="dxa"/>
        </w:tblCellMar>
        <w:tblLook w:val="04A0" w:firstRow="1" w:lastRow="0" w:firstColumn="1" w:lastColumn="0" w:noHBand="0" w:noVBand="1"/>
      </w:tblPr>
      <w:tblGrid>
        <w:gridCol w:w="4816"/>
        <w:gridCol w:w="4670"/>
      </w:tblGrid>
      <w:tr w:rsidR="007005FB" w14:paraId="7B18A037"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6EB95F84"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Measure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58922EC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Details  </w:t>
            </w:r>
          </w:p>
        </w:tc>
      </w:tr>
      <w:tr w:rsidR="007005FB" w14:paraId="34E7A952" w14:textId="77777777">
        <w:trPr>
          <w:trHeight w:val="637"/>
        </w:trPr>
        <w:tc>
          <w:tcPr>
            <w:tcW w:w="4815" w:type="dxa"/>
            <w:tcBorders>
              <w:top w:val="single" w:sz="4" w:space="0" w:color="000000"/>
              <w:left w:val="single" w:sz="4" w:space="0" w:color="000000"/>
              <w:bottom w:val="single" w:sz="4" w:space="0" w:color="000000"/>
              <w:right w:val="single" w:sz="4" w:space="0" w:color="000000"/>
            </w:tcBorders>
          </w:tcPr>
          <w:p w14:paraId="7AC752B7"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color w:val="000000"/>
                <w:sz w:val="22"/>
              </w:rPr>
              <w:t>How did you spend your service pupil premium allocation last academic year?</w:t>
            </w:r>
            <w: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4BBD36AF"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005FB" w14:paraId="2F7AACC6" w14:textId="77777777">
        <w:trPr>
          <w:trHeight w:val="636"/>
        </w:trPr>
        <w:tc>
          <w:tcPr>
            <w:tcW w:w="4815" w:type="dxa"/>
            <w:tcBorders>
              <w:top w:val="single" w:sz="4" w:space="0" w:color="000000"/>
              <w:left w:val="single" w:sz="4" w:space="0" w:color="000000"/>
              <w:bottom w:val="single" w:sz="4" w:space="0" w:color="000000"/>
              <w:right w:val="single" w:sz="4" w:space="0" w:color="000000"/>
            </w:tcBorders>
          </w:tcPr>
          <w:p w14:paraId="36578F26"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rPr>
                <w:color w:val="000000"/>
                <w:sz w:val="22"/>
              </w:rPr>
              <w:t>What was the impact of that spending on service pupil premium eligible pupils?</w:t>
            </w:r>
            <w: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81B6EE8"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14:paraId="1042F063" w14:textId="77777777" w:rsidR="007005FB" w:rsidRDefault="00723699">
      <w:pPr>
        <w:pBdr>
          <w:top w:val="none" w:sz="0" w:space="0" w:color="auto"/>
          <w:left w:val="none" w:sz="0" w:space="0" w:color="auto"/>
          <w:bottom w:val="none" w:sz="0" w:space="0" w:color="auto"/>
          <w:right w:val="none" w:sz="0" w:space="0" w:color="auto"/>
        </w:pBdr>
        <w:spacing w:after="273" w:line="259" w:lineRule="auto"/>
        <w:ind w:left="0" w:firstLine="0"/>
      </w:pPr>
      <w:r>
        <w:t xml:space="preserve"> </w:t>
      </w:r>
    </w:p>
    <w:p w14:paraId="730CD23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r>
        <w:br w:type="page"/>
      </w:r>
    </w:p>
    <w:p w14:paraId="4DEA6AEA" w14:textId="77777777" w:rsidR="007005FB" w:rsidRDefault="00723699">
      <w:pPr>
        <w:pStyle w:val="Heading1"/>
        <w:spacing w:after="238"/>
        <w:ind w:left="-5"/>
      </w:pPr>
      <w:r>
        <w:lastRenderedPageBreak/>
        <w:t xml:space="preserve">Further information (optional) </w:t>
      </w:r>
    </w:p>
    <w:p w14:paraId="35147D7B" w14:textId="77777777" w:rsidR="007005FB" w:rsidRDefault="00723699">
      <w:pPr>
        <w:ind w:left="168"/>
      </w:pPr>
      <w:r>
        <w:t xml:space="preserve">Our pupil premium strategy is </w:t>
      </w:r>
      <w:r>
        <w:t xml:space="preserve">supplemented by additional activity that is not being funded by pupil premium or recovery premium. This includes: </w:t>
      </w:r>
    </w:p>
    <w:p w14:paraId="6E1EB5CB" w14:textId="77777777" w:rsidR="007005FB" w:rsidRDefault="00723699">
      <w:pPr>
        <w:numPr>
          <w:ilvl w:val="0"/>
          <w:numId w:val="1"/>
        </w:numPr>
        <w:spacing w:after="9"/>
        <w:ind w:hanging="360"/>
      </w:pPr>
      <w:r>
        <w:t xml:space="preserve">Adopting the Weaver Trust curriculum from years 1-6. </w:t>
      </w:r>
    </w:p>
    <w:p w14:paraId="2B310BFB" w14:textId="77777777" w:rsidR="007005FB" w:rsidRDefault="00723699">
      <w:pPr>
        <w:numPr>
          <w:ilvl w:val="0"/>
          <w:numId w:val="1"/>
        </w:numPr>
        <w:spacing w:after="3"/>
        <w:ind w:hanging="360"/>
      </w:pPr>
      <w:r>
        <w:t>Offering a wide range of high-quality extracurricular activities to boost well-being, b</w:t>
      </w:r>
      <w:r>
        <w:t xml:space="preserve">ehaviour, attendance and aspiration. </w:t>
      </w:r>
    </w:p>
    <w:p w14:paraId="13A570EE" w14:textId="77777777" w:rsidR="007005FB" w:rsidRDefault="00723699">
      <w:pPr>
        <w:numPr>
          <w:ilvl w:val="0"/>
          <w:numId w:val="1"/>
        </w:numPr>
        <w:ind w:hanging="360"/>
      </w:pPr>
      <w:r>
        <w:t xml:space="preserve">Embedding more effective practice around feedback. EEF evidence demonstrates this has significant benefits for pupils, particularly disadvantaged pupils.  </w:t>
      </w:r>
    </w:p>
    <w:p w14:paraId="4CEA1EA5" w14:textId="77777777" w:rsidR="007005FB" w:rsidRDefault="00723699">
      <w:pPr>
        <w:ind w:left="168"/>
      </w:pPr>
      <w:r>
        <w:t>In planning our pupil premium strategy, we evaluated which act</w:t>
      </w:r>
      <w:r>
        <w:t xml:space="preserve">ivities had successfully impacted and those which had not had the degree of impact that we had expected. An external pupil premium review was commissioned in September 2019 to get an external perspective.  </w:t>
      </w:r>
    </w:p>
    <w:p w14:paraId="4CA68505" w14:textId="77777777" w:rsidR="007005FB" w:rsidRDefault="00723699">
      <w:pPr>
        <w:ind w:left="168"/>
      </w:pPr>
      <w:r>
        <w:t>We have triangulated evidence from multiple sourc</w:t>
      </w:r>
      <w:r>
        <w:t>es of data including assessments, engagement in book looks, conversations with parents, pupil and teachers in order to identify the challenges faced by disadvantaged students. We have looked at how similar schools, and schools within our academy trust to l</w:t>
      </w:r>
      <w:r>
        <w:t xml:space="preserve">earn from their approach.  </w:t>
      </w:r>
    </w:p>
    <w:p w14:paraId="2B49EBEE" w14:textId="77777777" w:rsidR="007005FB" w:rsidRDefault="00723699">
      <w:pPr>
        <w:ind w:left="168"/>
      </w:pPr>
      <w:r>
        <w:t xml:space="preserve">We have used the </w:t>
      </w:r>
      <w:r>
        <w:rPr>
          <w:color w:val="0070C0"/>
          <w:u w:val="single" w:color="0070C0"/>
        </w:rPr>
        <w:t>EEF’s implementation guidance</w:t>
      </w:r>
      <w:r>
        <w:rPr>
          <w:color w:val="0070C0"/>
        </w:rPr>
        <w:t xml:space="preserve"> </w:t>
      </w:r>
      <w:r>
        <w:t>to help us develop our strategy, with a particular focus on the toolkits to work out which activities and approaches are likely to have the most impact in our school. We will contin</w:t>
      </w:r>
      <w:r>
        <w:t xml:space="preserve">ue to use it through the implementation of activities.  </w:t>
      </w:r>
    </w:p>
    <w:p w14:paraId="4DECDE81" w14:textId="77777777" w:rsidR="007005FB" w:rsidRDefault="00723699">
      <w:pPr>
        <w:ind w:left="168"/>
      </w:pPr>
      <w:r>
        <w:t xml:space="preserve">We have put a robust evaluation framework in place for the duration of our three-year approach and will adjust our plan over time to secure better outcomes for pupils.  </w:t>
      </w:r>
    </w:p>
    <w:p w14:paraId="1320DAED" w14:textId="77777777" w:rsidR="007005FB" w:rsidRDefault="00723699">
      <w:pPr>
        <w:spacing w:after="163" w:line="259" w:lineRule="auto"/>
        <w:ind w:left="158" w:firstLine="0"/>
      </w:pPr>
      <w:r>
        <w:rPr>
          <w:i/>
        </w:rPr>
        <w:t xml:space="preserve"> </w:t>
      </w:r>
    </w:p>
    <w:p w14:paraId="6E7B6453"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firstLine="0"/>
      </w:pPr>
      <w:r>
        <w:t xml:space="preserve"> </w:t>
      </w:r>
    </w:p>
    <w:sectPr w:rsidR="007005FB">
      <w:footerReference w:type="even" r:id="rId44"/>
      <w:footerReference w:type="default" r:id="rId45"/>
      <w:footerReference w:type="first" r:id="rId46"/>
      <w:pgSz w:w="11906" w:h="16838"/>
      <w:pgMar w:top="1138" w:right="1384" w:bottom="1234"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5AA6" w14:textId="77777777" w:rsidR="00000000" w:rsidRDefault="00723699">
      <w:pPr>
        <w:spacing w:after="0" w:line="240" w:lineRule="auto"/>
      </w:pPr>
      <w:r>
        <w:separator/>
      </w:r>
    </w:p>
  </w:endnote>
  <w:endnote w:type="continuationSeparator" w:id="0">
    <w:p w14:paraId="4DDAEAD9" w14:textId="77777777" w:rsidR="00000000" w:rsidRDefault="0072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02E"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23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1262"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230"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901D" w14:textId="77777777" w:rsidR="007005FB" w:rsidRDefault="00723699">
    <w:pPr>
      <w:pBdr>
        <w:top w:val="none" w:sz="0" w:space="0" w:color="auto"/>
        <w:left w:val="none" w:sz="0" w:space="0" w:color="auto"/>
        <w:bottom w:val="none" w:sz="0" w:space="0" w:color="auto"/>
        <w:right w:val="none" w:sz="0" w:space="0" w:color="auto"/>
      </w:pBdr>
      <w:spacing w:after="0" w:line="259" w:lineRule="auto"/>
      <w:ind w:left="0" w:right="23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C721" w14:textId="77777777" w:rsidR="00000000" w:rsidRDefault="00723699">
      <w:pPr>
        <w:spacing w:after="0" w:line="240" w:lineRule="auto"/>
      </w:pPr>
      <w:r>
        <w:separator/>
      </w:r>
    </w:p>
  </w:footnote>
  <w:footnote w:type="continuationSeparator" w:id="0">
    <w:p w14:paraId="6A5C3546" w14:textId="77777777" w:rsidR="00000000" w:rsidRDefault="00723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CB8"/>
    <w:multiLevelType w:val="hybridMultilevel"/>
    <w:tmpl w:val="8E68D5C2"/>
    <w:lvl w:ilvl="0" w:tplc="FEFA6DFC">
      <w:start w:val="1"/>
      <w:numFmt w:val="bullet"/>
      <w:lvlText w:val="•"/>
      <w:lvlJc w:val="left"/>
      <w:pPr>
        <w:ind w:left="77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DE96CBB4">
      <w:start w:val="1"/>
      <w:numFmt w:val="bullet"/>
      <w:lvlText w:val="o"/>
      <w:lvlJc w:val="left"/>
      <w:pPr>
        <w:ind w:left="16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52842D34">
      <w:start w:val="1"/>
      <w:numFmt w:val="bullet"/>
      <w:lvlText w:val="▪"/>
      <w:lvlJc w:val="left"/>
      <w:pPr>
        <w:ind w:left="23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A0869FB2">
      <w:start w:val="1"/>
      <w:numFmt w:val="bullet"/>
      <w:lvlText w:val="•"/>
      <w:lvlJc w:val="left"/>
      <w:pPr>
        <w:ind w:left="304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1026FF20">
      <w:start w:val="1"/>
      <w:numFmt w:val="bullet"/>
      <w:lvlText w:val="o"/>
      <w:lvlJc w:val="left"/>
      <w:pPr>
        <w:ind w:left="37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FB9ACE36">
      <w:start w:val="1"/>
      <w:numFmt w:val="bullet"/>
      <w:lvlText w:val="▪"/>
      <w:lvlJc w:val="left"/>
      <w:pPr>
        <w:ind w:left="44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8D883C82">
      <w:start w:val="1"/>
      <w:numFmt w:val="bullet"/>
      <w:lvlText w:val="•"/>
      <w:lvlJc w:val="left"/>
      <w:pPr>
        <w:ind w:left="520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CE16A5B8">
      <w:start w:val="1"/>
      <w:numFmt w:val="bullet"/>
      <w:lvlText w:val="o"/>
      <w:lvlJc w:val="left"/>
      <w:pPr>
        <w:ind w:left="59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F3B40C04">
      <w:start w:val="1"/>
      <w:numFmt w:val="bullet"/>
      <w:lvlText w:val="▪"/>
      <w:lvlJc w:val="left"/>
      <w:pPr>
        <w:ind w:left="66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17457695"/>
    <w:multiLevelType w:val="hybridMultilevel"/>
    <w:tmpl w:val="23340BEE"/>
    <w:lvl w:ilvl="0" w:tplc="1E2E2FA6">
      <w:start w:val="1"/>
      <w:numFmt w:val="bullet"/>
      <w:lvlText w:val="-"/>
      <w:lvlJc w:val="left"/>
      <w:pPr>
        <w:ind w:left="51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936C5FE">
      <w:start w:val="1"/>
      <w:numFmt w:val="bullet"/>
      <w:lvlText w:val="o"/>
      <w:lvlJc w:val="left"/>
      <w:pPr>
        <w:ind w:left="125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439ADDF6">
      <w:start w:val="1"/>
      <w:numFmt w:val="bullet"/>
      <w:lvlText w:val="▪"/>
      <w:lvlJc w:val="left"/>
      <w:pPr>
        <w:ind w:left="197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DB62BB74">
      <w:start w:val="1"/>
      <w:numFmt w:val="bullet"/>
      <w:lvlText w:val="•"/>
      <w:lvlJc w:val="left"/>
      <w:pPr>
        <w:ind w:left="269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022A73B2">
      <w:start w:val="1"/>
      <w:numFmt w:val="bullet"/>
      <w:lvlText w:val="o"/>
      <w:lvlJc w:val="left"/>
      <w:pPr>
        <w:ind w:left="341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D2D25188">
      <w:start w:val="1"/>
      <w:numFmt w:val="bullet"/>
      <w:lvlText w:val="▪"/>
      <w:lvlJc w:val="left"/>
      <w:pPr>
        <w:ind w:left="413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68004C34">
      <w:start w:val="1"/>
      <w:numFmt w:val="bullet"/>
      <w:lvlText w:val="•"/>
      <w:lvlJc w:val="left"/>
      <w:pPr>
        <w:ind w:left="485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F78C7616">
      <w:start w:val="1"/>
      <w:numFmt w:val="bullet"/>
      <w:lvlText w:val="o"/>
      <w:lvlJc w:val="left"/>
      <w:pPr>
        <w:ind w:left="557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B5EEE19E">
      <w:start w:val="1"/>
      <w:numFmt w:val="bullet"/>
      <w:lvlText w:val="▪"/>
      <w:lvlJc w:val="left"/>
      <w:pPr>
        <w:ind w:left="629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1E0F4BA8"/>
    <w:multiLevelType w:val="hybridMultilevel"/>
    <w:tmpl w:val="5AF0313A"/>
    <w:lvl w:ilvl="0" w:tplc="0D70F09E">
      <w:start w:val="1"/>
      <w:numFmt w:val="bullet"/>
      <w:lvlText w:val="-"/>
      <w:lvlJc w:val="left"/>
      <w:pPr>
        <w:ind w:left="41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8F28796C">
      <w:start w:val="1"/>
      <w:numFmt w:val="bullet"/>
      <w:lvlText w:val="o"/>
      <w:lvlJc w:val="left"/>
      <w:pPr>
        <w:ind w:left="124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2" w:tplc="A4B2D646">
      <w:start w:val="1"/>
      <w:numFmt w:val="bullet"/>
      <w:lvlText w:val="▪"/>
      <w:lvlJc w:val="left"/>
      <w:pPr>
        <w:ind w:left="196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3" w:tplc="FCD40880">
      <w:start w:val="1"/>
      <w:numFmt w:val="bullet"/>
      <w:lvlText w:val="•"/>
      <w:lvlJc w:val="left"/>
      <w:pPr>
        <w:ind w:left="268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66066A2A">
      <w:start w:val="1"/>
      <w:numFmt w:val="bullet"/>
      <w:lvlText w:val="o"/>
      <w:lvlJc w:val="left"/>
      <w:pPr>
        <w:ind w:left="340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5" w:tplc="6616E0E2">
      <w:start w:val="1"/>
      <w:numFmt w:val="bullet"/>
      <w:lvlText w:val="▪"/>
      <w:lvlJc w:val="left"/>
      <w:pPr>
        <w:ind w:left="412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6" w:tplc="F2368ED6">
      <w:start w:val="1"/>
      <w:numFmt w:val="bullet"/>
      <w:lvlText w:val="•"/>
      <w:lvlJc w:val="left"/>
      <w:pPr>
        <w:ind w:left="484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304E8AF0">
      <w:start w:val="1"/>
      <w:numFmt w:val="bullet"/>
      <w:lvlText w:val="o"/>
      <w:lvlJc w:val="left"/>
      <w:pPr>
        <w:ind w:left="556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8" w:tplc="799486BC">
      <w:start w:val="1"/>
      <w:numFmt w:val="bullet"/>
      <w:lvlText w:val="▪"/>
      <w:lvlJc w:val="left"/>
      <w:pPr>
        <w:ind w:left="628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abstractNum>
  <w:abstractNum w:abstractNumId="3" w15:restartNumberingAfterBreak="0">
    <w:nsid w:val="61566F1F"/>
    <w:multiLevelType w:val="hybridMultilevel"/>
    <w:tmpl w:val="93E66332"/>
    <w:lvl w:ilvl="0" w:tplc="EC74D7D6">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B7CA5A4">
      <w:start w:val="1"/>
      <w:numFmt w:val="bullet"/>
      <w:lvlText w:val="o"/>
      <w:lvlJc w:val="left"/>
      <w:pPr>
        <w:ind w:left="155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1E0FDEC">
      <w:start w:val="1"/>
      <w:numFmt w:val="bullet"/>
      <w:lvlText w:val="▪"/>
      <w:lvlJc w:val="left"/>
      <w:pPr>
        <w:ind w:left="22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0E7891F8">
      <w:start w:val="1"/>
      <w:numFmt w:val="bullet"/>
      <w:lvlText w:val="•"/>
      <w:lvlJc w:val="left"/>
      <w:pPr>
        <w:ind w:left="299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01AA2E6">
      <w:start w:val="1"/>
      <w:numFmt w:val="bullet"/>
      <w:lvlText w:val="o"/>
      <w:lvlJc w:val="left"/>
      <w:pPr>
        <w:ind w:left="371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FE582CC6">
      <w:start w:val="1"/>
      <w:numFmt w:val="bullet"/>
      <w:lvlText w:val="▪"/>
      <w:lvlJc w:val="left"/>
      <w:pPr>
        <w:ind w:left="443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2E005AA">
      <w:start w:val="1"/>
      <w:numFmt w:val="bullet"/>
      <w:lvlText w:val="•"/>
      <w:lvlJc w:val="left"/>
      <w:pPr>
        <w:ind w:left="5151"/>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5125326">
      <w:start w:val="1"/>
      <w:numFmt w:val="bullet"/>
      <w:lvlText w:val="o"/>
      <w:lvlJc w:val="left"/>
      <w:pPr>
        <w:ind w:left="587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CFE323E">
      <w:start w:val="1"/>
      <w:numFmt w:val="bullet"/>
      <w:lvlText w:val="▪"/>
      <w:lvlJc w:val="left"/>
      <w:pPr>
        <w:ind w:left="6591"/>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 w15:restartNumberingAfterBreak="0">
    <w:nsid w:val="706808DE"/>
    <w:multiLevelType w:val="hybridMultilevel"/>
    <w:tmpl w:val="B09E3E1E"/>
    <w:lvl w:ilvl="0" w:tplc="8A320052">
      <w:start w:val="1"/>
      <w:numFmt w:val="bullet"/>
      <w:lvlText w:val="•"/>
      <w:lvlJc w:val="left"/>
      <w:pPr>
        <w:ind w:left="77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B9989E40">
      <w:start w:val="1"/>
      <w:numFmt w:val="bullet"/>
      <w:lvlText w:val="o"/>
      <w:lvlJc w:val="left"/>
      <w:pPr>
        <w:ind w:left="160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91FA9688">
      <w:start w:val="1"/>
      <w:numFmt w:val="bullet"/>
      <w:lvlText w:val="▪"/>
      <w:lvlJc w:val="left"/>
      <w:pPr>
        <w:ind w:left="232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61C43240">
      <w:start w:val="1"/>
      <w:numFmt w:val="bullet"/>
      <w:lvlText w:val="•"/>
      <w:lvlJc w:val="left"/>
      <w:pPr>
        <w:ind w:left="304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31FAB132">
      <w:start w:val="1"/>
      <w:numFmt w:val="bullet"/>
      <w:lvlText w:val="o"/>
      <w:lvlJc w:val="left"/>
      <w:pPr>
        <w:ind w:left="376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4E069FDE">
      <w:start w:val="1"/>
      <w:numFmt w:val="bullet"/>
      <w:lvlText w:val="▪"/>
      <w:lvlJc w:val="left"/>
      <w:pPr>
        <w:ind w:left="448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855A3912">
      <w:start w:val="1"/>
      <w:numFmt w:val="bullet"/>
      <w:lvlText w:val="•"/>
      <w:lvlJc w:val="left"/>
      <w:pPr>
        <w:ind w:left="520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D0D4000E">
      <w:start w:val="1"/>
      <w:numFmt w:val="bullet"/>
      <w:lvlText w:val="o"/>
      <w:lvlJc w:val="left"/>
      <w:pPr>
        <w:ind w:left="592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50068DCA">
      <w:start w:val="1"/>
      <w:numFmt w:val="bullet"/>
      <w:lvlText w:val="▪"/>
      <w:lvlJc w:val="left"/>
      <w:pPr>
        <w:ind w:left="6646"/>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5" w15:restartNumberingAfterBreak="0">
    <w:nsid w:val="733465B2"/>
    <w:multiLevelType w:val="hybridMultilevel"/>
    <w:tmpl w:val="32EAA348"/>
    <w:lvl w:ilvl="0" w:tplc="92A8AD8E">
      <w:start w:val="1"/>
      <w:numFmt w:val="bullet"/>
      <w:lvlText w:val="•"/>
      <w:lvlJc w:val="left"/>
      <w:pPr>
        <w:ind w:left="787"/>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C95412F2">
      <w:start w:val="1"/>
      <w:numFmt w:val="bullet"/>
      <w:lvlText w:val="o"/>
      <w:lvlJc w:val="left"/>
      <w:pPr>
        <w:ind w:left="161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1C8426C">
      <w:start w:val="1"/>
      <w:numFmt w:val="bullet"/>
      <w:lvlText w:val="▪"/>
      <w:lvlJc w:val="left"/>
      <w:pPr>
        <w:ind w:left="233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772E962C">
      <w:start w:val="1"/>
      <w:numFmt w:val="bullet"/>
      <w:lvlText w:val="•"/>
      <w:lvlJc w:val="left"/>
      <w:pPr>
        <w:ind w:left="305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B994E784">
      <w:start w:val="1"/>
      <w:numFmt w:val="bullet"/>
      <w:lvlText w:val="o"/>
      <w:lvlJc w:val="left"/>
      <w:pPr>
        <w:ind w:left="377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0C6F8D0">
      <w:start w:val="1"/>
      <w:numFmt w:val="bullet"/>
      <w:lvlText w:val="▪"/>
      <w:lvlJc w:val="left"/>
      <w:pPr>
        <w:ind w:left="449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048CBB86">
      <w:start w:val="1"/>
      <w:numFmt w:val="bullet"/>
      <w:lvlText w:val="•"/>
      <w:lvlJc w:val="left"/>
      <w:pPr>
        <w:ind w:left="521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D1ECFD4">
      <w:start w:val="1"/>
      <w:numFmt w:val="bullet"/>
      <w:lvlText w:val="o"/>
      <w:lvlJc w:val="left"/>
      <w:pPr>
        <w:ind w:left="593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5C62326">
      <w:start w:val="1"/>
      <w:numFmt w:val="bullet"/>
      <w:lvlText w:val="▪"/>
      <w:lvlJc w:val="left"/>
      <w:pPr>
        <w:ind w:left="665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FB"/>
    <w:rsid w:val="000F0BC3"/>
    <w:rsid w:val="00171077"/>
    <w:rsid w:val="002D279E"/>
    <w:rsid w:val="003678D9"/>
    <w:rsid w:val="00516900"/>
    <w:rsid w:val="007005FB"/>
    <w:rsid w:val="00723699"/>
    <w:rsid w:val="00886172"/>
    <w:rsid w:val="00950E41"/>
    <w:rsid w:val="00AB0392"/>
    <w:rsid w:val="00B91F2D"/>
    <w:rsid w:val="00C72B23"/>
    <w:rsid w:val="00D06FE3"/>
    <w:rsid w:val="00F27081"/>
    <w:rsid w:val="00F9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FA8E"/>
  <w15:docId w15:val="{E7B018DE-8F0C-417E-B915-62205F83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16" w:line="291" w:lineRule="auto"/>
      <w:ind w:left="126" w:hanging="10"/>
    </w:pPr>
    <w:rPr>
      <w:rFonts w:ascii="Arial" w:eastAsia="Arial" w:hAnsi="Arial" w:cs="Arial"/>
      <w:color w:val="0D0D0D"/>
      <w:sz w:val="24"/>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7"/>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educationendowmentfoundation.org.uk/evidence-summaries/teaching-learning-toolkit/oral-language-interventions/" TargetMode="External"/><Relationship Id="rId26" Type="http://schemas.openxmlformats.org/officeDocument/2006/relationships/hyperlink" Target="https://educationendowmentfoundation.org.uk/evidence-summaries/teaching-learning-toolkit/oral-language-interventions/" TargetMode="External"/><Relationship Id="rId39" Type="http://schemas.openxmlformats.org/officeDocument/2006/relationships/hyperlink" Target="https://educationendowmentfoundation.org.uk/evidence-summaries/teaching-learning-toolkit/phonics/" TargetMode="Externa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hyperlink" Target="https://educationendowmentfoundation.org.uk/public/files/Publications/SEL/EEF_Social_and_Emotional_Learning.pdf" TargetMode="External"/><Relationship Id="rId42" Type="http://schemas.openxmlformats.org/officeDocument/2006/relationships/hyperlink" Target="https://educationendowmentfoundation.org.uk/evidence-summaries/teaching-learning-toolkit/phonics/" TargetMode="External"/><Relationship Id="rId47" Type="http://schemas.openxmlformats.org/officeDocument/2006/relationships/fontTable" Target="fontTable.xml"/><Relationship Id="rId7" Type="http://schemas.openxmlformats.org/officeDocument/2006/relationships/hyperlink" Target="https://educationendowmentfoundation.org.uk/evidence-summaries/teaching-learning-toolkit/oral-language-intervention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oral-language-interventions/" TargetMode="External"/><Relationship Id="rId29" Type="http://schemas.openxmlformats.org/officeDocument/2006/relationships/hyperlink" Target="https://educationendowmentfoundation.org.uk/evidence-summaries/teaching-learning-toolkit/oral-language-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yperlink" Target="https://educationendowmentfoundation.org.uk/evidence-summaries/teaching-learning-toolkit/phonics/" TargetMode="External"/><Relationship Id="rId32" Type="http://schemas.openxmlformats.org/officeDocument/2006/relationships/hyperlink" Target="https://educationendowmentfoundation.org.uk/evidence-summaries/teaching-learning-toolkit/oral-language-interventions/" TargetMode="External"/><Relationship Id="rId37" Type="http://schemas.openxmlformats.org/officeDocument/2006/relationships/hyperlink" Target="https://educationendowmentfoundation.org.uk/evidence-summaries/teaching-learning-toolkit/phonics/" TargetMode="External"/><Relationship Id="rId40" Type="http://schemas.openxmlformats.org/officeDocument/2006/relationships/hyperlink" Target="https://educationendowmentfoundation.org.uk/evidence-summaries/teaching-learning-toolkit/phonic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vidence-summaries/teaching-learning-toolkit/phonics/" TargetMode="External"/><Relationship Id="rId28" Type="http://schemas.openxmlformats.org/officeDocument/2006/relationships/hyperlink" Target="https://educationendowmentfoundation.org.uk/evidence-summaries/teaching-learning-toolkit/oral-language-interventions/" TargetMode="External"/><Relationship Id="rId36" Type="http://schemas.openxmlformats.org/officeDocument/2006/relationships/hyperlink" Target="https://educationendowmentfoundation.org.uk/evidence-summaries/teaching-learning-toolkit/phonics/"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educationendowmentfoundation.org.uk/evidence-summaries/teaching-learning-toolkit/oral-language-interventions/" TargetMode="External"/><Relationship Id="rId31" Type="http://schemas.openxmlformats.org/officeDocument/2006/relationships/hyperlink" Target="https://educationendowmentfoundation.org.uk/evidence-summaries/teaching-learning-toolkit/oral-language-intervention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evidence-summaries/teaching-learning-toolkit/oral-language-interventions/" TargetMode="External"/><Relationship Id="rId22" Type="http://schemas.openxmlformats.org/officeDocument/2006/relationships/hyperlink" Target="https://educationendowmentfoundation.org.uk/evidence-summaries/teaching-learning-toolkit/phonics/" TargetMode="External"/><Relationship Id="rId27" Type="http://schemas.openxmlformats.org/officeDocument/2006/relationships/hyperlink" Target="https://educationendowmentfoundation.org.uk/evidence-summaries/teaching-learning-toolkit/oral-language-interventions/" TargetMode="External"/><Relationship Id="rId30" Type="http://schemas.openxmlformats.org/officeDocument/2006/relationships/hyperlink" Target="https://educationendowmentfoundation.org.uk/evidence-summaries/teaching-learning-toolkit/oral-language-interventions/" TargetMode="External"/><Relationship Id="rId35" Type="http://schemas.openxmlformats.org/officeDocument/2006/relationships/hyperlink" Target="https://educationendowmentfoundation.org.uk/public/files/Publications/SEL/EEF_Social_and_Emotional_Learning.pdf" TargetMode="External"/><Relationship Id="rId43" Type="http://schemas.openxmlformats.org/officeDocument/2006/relationships/hyperlink" Target="https://educationendowmentfoundation.org.uk/evidence-summaries/teaching-learning-toolkit/phonics/" TargetMode="External"/><Relationship Id="rId48" Type="http://schemas.openxmlformats.org/officeDocument/2006/relationships/theme" Target="theme/theme1.xml"/><Relationship Id="rId8" Type="http://schemas.openxmlformats.org/officeDocument/2006/relationships/hyperlink" Target="https://educationendowmentfoundation.org.uk/evidence-summaries/teaching-learning-toolkit/oral-language-interventions/"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vidence-summaries/teaching-learning-toolkit/oral-language-interventions/" TargetMode="External"/><Relationship Id="rId25" Type="http://schemas.openxmlformats.org/officeDocument/2006/relationships/hyperlink" Target="https://educationendowmentfoundation.org.uk/evidence-summaries/teaching-learning-toolkit/oral-language-interventions/" TargetMode="External"/><Relationship Id="rId33" Type="http://schemas.openxmlformats.org/officeDocument/2006/relationships/hyperlink" Target="https://educationendowmentfoundation.org.uk/public/files/Publications/SEL/EEF_Social_and_Emotional_Learning.pdf" TargetMode="External"/><Relationship Id="rId38" Type="http://schemas.openxmlformats.org/officeDocument/2006/relationships/hyperlink" Target="https://educationendowmentfoundation.org.uk/evidence-summaries/teaching-learning-toolkit/phonics/" TargetMode="External"/><Relationship Id="rId46" Type="http://schemas.openxmlformats.org/officeDocument/2006/relationships/footer" Target="footer3.xml"/><Relationship Id="rId20" Type="http://schemas.openxmlformats.org/officeDocument/2006/relationships/hyperlink" Target="https://educationendowmentfoundation.org.uk/evidence-summaries/teaching-learning-toolkit/oral-language-interventions/" TargetMode="External"/><Relationship Id="rId41"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12</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Leftwich Primary Head</cp:lastModifiedBy>
  <cp:revision>3</cp:revision>
  <cp:lastPrinted>2023-11-28T12:52:00Z</cp:lastPrinted>
  <dcterms:created xsi:type="dcterms:W3CDTF">2023-11-28T09:55:00Z</dcterms:created>
  <dcterms:modified xsi:type="dcterms:W3CDTF">2023-11-28T14:50:00Z</dcterms:modified>
</cp:coreProperties>
</file>